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240" w:after="360"/>
        <w:jc w:val="center"/>
      </w:pPr>
      <w:r>
        <w:rPr>
          <w:rFonts w:ascii="Aptos" w:hAnsi="Aptos"/>
          <w:b/>
          <w:i w:val="0"/>
          <w:color w:val="EF6B4F"/>
          <w:sz w:val="18"/>
        </w:rPr>
        <w:t>PRACTICAL AI FOR SOURCING TEAMS</w:t>
      </w:r>
    </w:p>
    <w:p>
      <w:pPr>
        <w:spacing w:before="0" w:after="80"/>
        <w:jc w:val="center"/>
      </w:pPr>
      <w:r>
        <w:rPr>
          <w:rFonts w:ascii="Aptos" w:hAnsi="Aptos"/>
          <w:b/>
          <w:i w:val="0"/>
          <w:color w:val="17251D"/>
          <w:sz w:val="62"/>
        </w:rPr>
        <w:t>AI Vendor Evaluation</w:t>
      </w:r>
    </w:p>
    <w:p>
      <w:pPr>
        <w:spacing w:before="0" w:after="440"/>
        <w:jc w:val="center"/>
      </w:pPr>
      <w:r>
        <w:rPr>
          <w:rFonts w:ascii="Aptos" w:hAnsi="Aptos"/>
          <w:b/>
          <w:i w:val="0"/>
          <w:color w:val="EF6B4F"/>
          <w:sz w:val="48"/>
        </w:rPr>
        <w:t>Starter Playbook</w:t>
      </w:r>
    </w:p>
    <w:p>
      <w:pPr>
        <w:spacing w:before="0" w:after="1000"/>
        <w:jc w:val="center"/>
      </w:pPr>
      <w:r>
        <w:rPr>
          <w:rFonts w:ascii="Aptos" w:hAnsi="Aptos"/>
          <w:b w:val="0"/>
          <w:i w:val="0"/>
          <w:color w:val="5C6860"/>
          <w:sz w:val="26"/>
        </w:rPr>
        <w:t>A governed workflow for organizing proposal evidence, surfacing gaps, and preparing a human-led evaluation.</w:t>
      </w:r>
    </w:p>
    <w:tbl>
      <w:tblPr>
        <w:tblW w:type="auto" w:w="0"/>
        <w:jc w:val="center"/>
        <w:tblLayout w:type="fixed"/>
        <w:tblLook w:firstColumn="1" w:firstRow="1" w:lastColumn="0" w:lastRow="0" w:noHBand="0" w:noVBand="1" w:val="04A0"/>
      </w:tblPr>
      <w:tblGrid>
        <w:gridCol w:w="9792"/>
      </w:tblGrid>
      <w:tr>
        <w:tc>
          <w:tcPr>
            <w:tcW w:type="dxa" w:w="9994"/>
            <w:shd w:fill="D8E0CE"/>
            <w:tcMar>
              <w:top w:w="170" w:type="dxa"/>
              <w:start w:w="190" w:type="dxa"/>
              <w:bottom w:w="170" w:type="dxa"/>
              <w:end w:w="190" w:type="dxa"/>
            </w:tcMar>
          </w:tcPr>
          <w:p>
            <w:pPr>
              <w:spacing w:after="80"/>
            </w:pPr>
            <w:r>
              <w:rPr>
                <w:rFonts w:ascii="Aptos" w:hAnsi="Aptos"/>
                <w:b/>
                <w:i w:val="0"/>
                <w:color w:val="EF6B4F"/>
                <w:sz w:val="16"/>
              </w:rPr>
              <w:t>WHAT THIS IS</w:t>
            </w:r>
          </w:p>
          <w:p>
            <w:pPr>
              <w:spacing w:after="0"/>
            </w:pPr>
            <w:r>
              <w:rPr>
                <w:rFonts w:ascii="Aptos" w:hAnsi="Aptos"/>
                <w:b w:val="0"/>
                <w:i w:val="0"/>
                <w:color w:val="17251D"/>
                <w:sz w:val="20"/>
              </w:rPr>
              <w:t>A practical starting system: preparation guidance, workflow, reusable prompts, review controls, and an editable comparison workbook.</w:t>
            </w:r>
          </w:p>
        </w:tc>
      </w:tr>
    </w:tbl>
    <w:p>
      <w:pPr>
        <w:spacing w:after="20"/>
      </w:pPr>
    </w:p>
    <w:p>
      <w:pPr>
        <w:spacing w:before="1040" w:after="120"/>
        <w:jc w:val="center"/>
      </w:pPr>
      <w:r>
        <w:rPr>
          <w:rFonts w:ascii="Aptos" w:hAnsi="Aptos"/>
          <w:b w:val="0"/>
          <w:i w:val="0"/>
          <w:color w:val="5C6860"/>
          <w:sz w:val="18"/>
        </w:rPr>
        <w:t>Free preview edition  |  Version 1.0  |  June 2026</w:t>
      </w:r>
    </w:p>
    <w:p>
      <w:pPr>
        <w:spacing w:before="0" w:after="120"/>
        <w:jc w:val="center"/>
      </w:pPr>
      <w:r>
        <w:rPr>
          <w:rFonts w:ascii="Aptos" w:hAnsi="Aptos"/>
          <w:b/>
          <w:i w:val="0"/>
          <w:color w:val="17251D"/>
          <w:sz w:val="20"/>
        </w:rPr>
        <w:t>PlaybookTemplates.com</w:t>
      </w:r>
    </w:p>
    <w:p>
      <w:r>
        <w:br w:type="page"/>
      </w:r>
    </w:p>
    <w:p>
      <w:pPr>
        <w:pStyle w:val="Heading1"/>
      </w:pPr>
      <w:r>
        <w:t>Start here</w:t>
      </w:r>
    </w:p>
    <w:p>
      <w:pPr>
        <w:spacing w:before="0" w:after="120"/>
      </w:pPr>
      <w:r>
        <w:rPr>
          <w:rFonts w:ascii="Aptos" w:hAnsi="Aptos"/>
          <w:b w:val="0"/>
          <w:i w:val="0"/>
          <w:color w:val="17251D"/>
          <w:sz w:val="21"/>
        </w:rPr>
        <w:t>Use this playbook to accelerate the administrative work around evaluation while preserving evaluator independence, fairness, confidentiality, and accountability.</w:t>
      </w:r>
    </w:p>
    <w:tbl>
      <w:tblPr>
        <w:tblW w:type="auto" w:w="0"/>
        <w:jc w:val="center"/>
        <w:tblLayout w:type="fixed"/>
        <w:tblLook w:firstColumn="1" w:firstRow="1" w:lastColumn="0" w:lastRow="0" w:noHBand="0" w:noVBand="1" w:val="04A0"/>
      </w:tblPr>
      <w:tblGrid>
        <w:gridCol w:w="9792"/>
      </w:tblGrid>
      <w:tr>
        <w:tc>
          <w:tcPr>
            <w:tcW w:type="dxa" w:w="9994"/>
            <w:shd w:fill="F7D9D1"/>
            <w:tcMar>
              <w:top w:w="170" w:type="dxa"/>
              <w:start w:w="190" w:type="dxa"/>
              <w:bottom w:w="170" w:type="dxa"/>
              <w:end w:w="190" w:type="dxa"/>
            </w:tcMar>
          </w:tcPr>
          <w:p>
            <w:pPr>
              <w:spacing w:after="80"/>
            </w:pPr>
            <w:r>
              <w:rPr>
                <w:rFonts w:ascii="Aptos" w:hAnsi="Aptos"/>
                <w:b/>
                <w:i w:val="0"/>
                <w:color w:val="EF6B4F"/>
                <w:sz w:val="16"/>
              </w:rPr>
              <w:t>CORE PRINCIPLE</w:t>
            </w:r>
          </w:p>
          <w:p>
            <w:pPr>
              <w:spacing w:after="0"/>
            </w:pPr>
            <w:r>
              <w:rPr>
                <w:rFonts w:ascii="Aptos" w:hAnsi="Aptos"/>
                <w:b w:val="0"/>
                <w:i w:val="0"/>
                <w:color w:val="17251D"/>
                <w:sz w:val="20"/>
              </w:rPr>
              <w:t>AI may help locate, organize, compare, and summarize evidence. It should not assign final scores, select a vendor, invent missing facts, or replace an authorized evaluator.</w:t>
            </w:r>
          </w:p>
        </w:tc>
      </w:tr>
    </w:tbl>
    <w:p>
      <w:pPr>
        <w:spacing w:after="20"/>
      </w:pPr>
    </w:p>
    <w:p>
      <w:pPr>
        <w:pStyle w:val="Heading2"/>
      </w:pPr>
      <w:r>
        <w:t>Before you begin</w:t>
      </w:r>
    </w:p>
    <w:p>
      <w:pPr>
        <w:pStyle w:val="ListBullet"/>
        <w:spacing w:after="80"/>
        <w:ind w:left="360" w:hanging="230"/>
      </w:pPr>
      <w:r>
        <w:rPr>
          <w:rFonts w:ascii="Aptos" w:hAnsi="Aptos"/>
          <w:b w:val="0"/>
          <w:i w:val="0"/>
          <w:color w:val="17251D"/>
          <w:sz w:val="20"/>
        </w:rPr>
        <w:t>Confirm that your organization permits the selected AI tool and the proposed data use.</w:t>
      </w:r>
    </w:p>
    <w:p>
      <w:pPr>
        <w:pStyle w:val="ListBullet"/>
        <w:spacing w:after="80"/>
        <w:ind w:left="360" w:hanging="230"/>
      </w:pPr>
      <w:r>
        <w:rPr>
          <w:rFonts w:ascii="Aptos" w:hAnsi="Aptos"/>
          <w:b w:val="0"/>
          <w:i w:val="0"/>
          <w:color w:val="17251D"/>
          <w:sz w:val="20"/>
        </w:rPr>
        <w:t>Use only approved source material. Remove or mask confidential or personal information when required.</w:t>
      </w:r>
    </w:p>
    <w:p>
      <w:pPr>
        <w:pStyle w:val="ListBullet"/>
        <w:spacing w:after="80"/>
        <w:ind w:left="360" w:hanging="230"/>
      </w:pPr>
      <w:r>
        <w:rPr>
          <w:rFonts w:ascii="Aptos" w:hAnsi="Aptos"/>
          <w:b w:val="0"/>
          <w:i w:val="0"/>
          <w:color w:val="17251D"/>
          <w:sz w:val="20"/>
        </w:rPr>
        <w:t>Define requirements, scoring scales, and evaluator roles before introducing AI output.</w:t>
      </w:r>
    </w:p>
    <w:p>
      <w:pPr>
        <w:pStyle w:val="ListBullet"/>
        <w:spacing w:after="80"/>
        <w:ind w:left="360" w:hanging="230"/>
      </w:pPr>
      <w:r>
        <w:rPr>
          <w:rFonts w:ascii="Aptos" w:hAnsi="Aptos"/>
          <w:b w:val="0"/>
          <w:i w:val="0"/>
          <w:color w:val="17251D"/>
          <w:sz w:val="20"/>
        </w:rPr>
        <w:t>Keep original proposals and a traceable record of every source used.</w:t>
      </w:r>
    </w:p>
    <w:p>
      <w:pPr>
        <w:pStyle w:val="ListBullet"/>
        <w:spacing w:after="80"/>
        <w:ind w:left="360" w:hanging="230"/>
      </w:pPr>
      <w:r>
        <w:rPr>
          <w:rFonts w:ascii="Aptos" w:hAnsi="Aptos"/>
          <w:b w:val="0"/>
          <w:i w:val="0"/>
          <w:color w:val="17251D"/>
          <w:sz w:val="20"/>
        </w:rPr>
        <w:t>Tell evaluators what AI did and did not do.</w:t>
      </w:r>
    </w:p>
    <w:p>
      <w:pPr>
        <w:pStyle w:val="Heading2"/>
      </w:pPr>
      <w:r>
        <w:t>When not to use this workflow</w:t>
      </w:r>
    </w:p>
    <w:p>
      <w:pPr>
        <w:pStyle w:val="ListBullet"/>
        <w:spacing w:after="80"/>
        <w:ind w:left="360" w:hanging="230"/>
      </w:pPr>
      <w:r>
        <w:rPr>
          <w:rFonts w:ascii="Aptos" w:hAnsi="Aptos"/>
          <w:b w:val="0"/>
          <w:i w:val="0"/>
          <w:color w:val="17251D"/>
          <w:sz w:val="20"/>
        </w:rPr>
        <w:t>When policy prohibits proposal content from entering the available AI environment.</w:t>
      </w:r>
    </w:p>
    <w:p>
      <w:pPr>
        <w:pStyle w:val="ListBullet"/>
        <w:spacing w:after="80"/>
        <w:ind w:left="360" w:hanging="230"/>
      </w:pPr>
      <w:r>
        <w:rPr>
          <w:rFonts w:ascii="Aptos" w:hAnsi="Aptos"/>
          <w:b w:val="0"/>
          <w:i w:val="0"/>
          <w:color w:val="17251D"/>
          <w:sz w:val="20"/>
        </w:rPr>
        <w:t>When the source documents cannot be reliably extracted or cited.</w:t>
      </w:r>
    </w:p>
    <w:p>
      <w:pPr>
        <w:pStyle w:val="ListBullet"/>
        <w:spacing w:after="80"/>
        <w:ind w:left="360" w:hanging="230"/>
      </w:pPr>
      <w:r>
        <w:rPr>
          <w:rFonts w:ascii="Aptos" w:hAnsi="Aptos"/>
          <w:b w:val="0"/>
          <w:i w:val="0"/>
          <w:color w:val="17251D"/>
          <w:sz w:val="20"/>
        </w:rPr>
        <w:t>When the evaluation requires legal, regulatory, security, or technical conclusions outside the team's expertise.</w:t>
      </w:r>
    </w:p>
    <w:p>
      <w:pPr>
        <w:pStyle w:val="ListBullet"/>
        <w:spacing w:after="80"/>
        <w:ind w:left="360" w:hanging="230"/>
      </w:pPr>
      <w:r>
        <w:rPr>
          <w:rFonts w:ascii="Aptos" w:hAnsi="Aptos"/>
          <w:b w:val="0"/>
          <w:i w:val="0"/>
          <w:color w:val="17251D"/>
          <w:sz w:val="20"/>
        </w:rPr>
        <w:t>When AI output could bias independent scoring before evaluators complete their own review.</w:t>
      </w:r>
    </w:p>
    <w:p>
      <w:r>
        <w:br w:type="page"/>
      </w:r>
    </w:p>
    <w:p>
      <w:pPr>
        <w:pStyle w:val="Heading1"/>
      </w:pPr>
      <w:r>
        <w:t>The four-stage workflow</w:t>
      </w:r>
    </w:p>
    <w:tbl>
      <w:tblPr>
        <w:tblW w:type="auto" w:w="0"/>
        <w:jc w:val="center"/>
        <w:tblLayout w:type="fixed"/>
        <w:tblLook w:firstColumn="1" w:firstRow="1" w:lastColumn="0" w:lastRow="0" w:noHBand="0" w:noVBand="1" w:val="04A0"/>
      </w:tblPr>
      <w:tblGrid>
        <w:gridCol w:w="2160"/>
        <w:gridCol w:w="7632"/>
      </w:tblGrid>
      <w:tr>
        <w:trPr>
          <w:tblHeader w:val="true"/>
        </w:trPr>
        <w:tc>
          <w:tcPr>
            <w:tcW w:type="dxa" w:w="4997"/>
            <w:shd w:fill="17251D"/>
            <w:tcMar>
              <w:top w:w="100" w:type="dxa"/>
              <w:start w:w="130" w:type="dxa"/>
              <w:bottom w:w="100" w:type="dxa"/>
              <w:end w:w="130" w:type="dxa"/>
            </w:tcMar>
          </w:tcPr>
          <w:p>
            <w:r>
              <w:rPr>
                <w:rFonts w:ascii="Aptos" w:hAnsi="Aptos"/>
                <w:b/>
                <w:i w:val="0"/>
                <w:color w:val="FFFFFF"/>
                <w:sz w:val="18"/>
              </w:rPr>
              <w:t>Stage</w:t>
            </w:r>
          </w:p>
        </w:tc>
        <w:tc>
          <w:tcPr>
            <w:tcW w:type="dxa" w:w="4997"/>
            <w:shd w:fill="17251D"/>
            <w:tcMar>
              <w:top w:w="100" w:type="dxa"/>
              <w:start w:w="130" w:type="dxa"/>
              <w:bottom w:w="100" w:type="dxa"/>
              <w:end w:w="130" w:type="dxa"/>
            </w:tcMar>
          </w:tcPr>
          <w:p>
            <w:r>
              <w:rPr>
                <w:rFonts w:ascii="Aptos" w:hAnsi="Aptos"/>
                <w:b/>
                <w:i w:val="0"/>
                <w:color w:val="FFFFFF"/>
                <w:sz w:val="18"/>
              </w:rPr>
              <w:t>Purpose</w:t>
            </w:r>
          </w:p>
        </w:tc>
      </w:tr>
      <w:tr>
        <w:tc>
          <w:tcPr>
            <w:tcW w:type="dxa" w:w="2160"/>
            <w:tcMar>
              <w:top w:w="130" w:type="dxa"/>
              <w:start w:w="140" w:type="dxa"/>
              <w:bottom w:w="130" w:type="dxa"/>
              <w:end w:w="140" w:type="dxa"/>
            </w:tcMar>
            <w:vAlign w:val="center"/>
          </w:tcPr>
          <w:p>
            <w:r>
              <w:rPr>
                <w:rFonts w:ascii="Aptos" w:hAnsi="Aptos"/>
                <w:b/>
                <w:i w:val="0"/>
                <w:color w:val="17251D"/>
                <w:sz w:val="19"/>
              </w:rPr>
              <w:t>1. Prepare</w:t>
            </w:r>
          </w:p>
        </w:tc>
        <w:tc>
          <w:tcPr>
            <w:tcW w:type="dxa" w:w="7632"/>
            <w:tcMar>
              <w:top w:w="130" w:type="dxa"/>
              <w:start w:w="140" w:type="dxa"/>
              <w:bottom w:w="130" w:type="dxa"/>
              <w:end w:w="140" w:type="dxa"/>
            </w:tcMar>
            <w:vAlign w:val="center"/>
          </w:tcPr>
          <w:p>
            <w:r>
              <w:rPr>
                <w:rFonts w:ascii="Aptos" w:hAnsi="Aptos"/>
                <w:b/>
                <w:i w:val="0"/>
                <w:color w:val="17251D"/>
                <w:sz w:val="19"/>
              </w:rPr>
              <w:t>Create a clean source set, lock evaluation criteria, and establish data boundaries.</w:t>
            </w:r>
          </w:p>
        </w:tc>
      </w:tr>
      <w:tr>
        <w:tc>
          <w:tcPr>
            <w:tcW w:type="dxa" w:w="2160"/>
            <w:tcMar>
              <w:top w:w="130" w:type="dxa"/>
              <w:start w:w="140" w:type="dxa"/>
              <w:bottom w:w="130" w:type="dxa"/>
              <w:end w:w="140" w:type="dxa"/>
            </w:tcMar>
            <w:vAlign w:val="center"/>
          </w:tcPr>
          <w:p>
            <w:r>
              <w:rPr>
                <w:rFonts w:ascii="Aptos" w:hAnsi="Aptos"/>
                <w:b w:val="0"/>
                <w:i w:val="0"/>
                <w:color w:val="17251D"/>
                <w:sz w:val="19"/>
              </w:rPr>
              <w:t>2. Extract</w:t>
            </w:r>
          </w:p>
        </w:tc>
        <w:tc>
          <w:tcPr>
            <w:tcW w:type="dxa" w:w="7632"/>
            <w:tcMar>
              <w:top w:w="130" w:type="dxa"/>
              <w:start w:w="140" w:type="dxa"/>
              <w:bottom w:w="130" w:type="dxa"/>
              <w:end w:w="140" w:type="dxa"/>
            </w:tcMar>
            <w:vAlign w:val="center"/>
          </w:tcPr>
          <w:p>
            <w:r>
              <w:rPr>
                <w:rFonts w:ascii="Aptos" w:hAnsi="Aptos"/>
                <w:b w:val="0"/>
                <w:i w:val="0"/>
                <w:color w:val="17251D"/>
                <w:sz w:val="19"/>
              </w:rPr>
              <w:t>Ask AI to locate explicit evidence, limitations, exceptions, and missing responses.</w:t>
            </w:r>
          </w:p>
        </w:tc>
      </w:tr>
      <w:tr>
        <w:tc>
          <w:tcPr>
            <w:tcW w:type="dxa" w:w="2160"/>
            <w:tcMar>
              <w:top w:w="130" w:type="dxa"/>
              <w:start w:w="140" w:type="dxa"/>
              <w:bottom w:w="130" w:type="dxa"/>
              <w:end w:w="140" w:type="dxa"/>
            </w:tcMar>
            <w:vAlign w:val="center"/>
          </w:tcPr>
          <w:p>
            <w:r>
              <w:rPr>
                <w:rFonts w:ascii="Aptos" w:hAnsi="Aptos"/>
                <w:b/>
                <w:i w:val="0"/>
                <w:color w:val="17251D"/>
                <w:sz w:val="19"/>
              </w:rPr>
              <w:t>3. Compare</w:t>
            </w:r>
          </w:p>
        </w:tc>
        <w:tc>
          <w:tcPr>
            <w:tcW w:type="dxa" w:w="7632"/>
            <w:tcMar>
              <w:top w:w="130" w:type="dxa"/>
              <w:start w:w="140" w:type="dxa"/>
              <w:bottom w:w="130" w:type="dxa"/>
              <w:end w:w="140" w:type="dxa"/>
            </w:tcMar>
            <w:vAlign w:val="center"/>
          </w:tcPr>
          <w:p>
            <w:r>
              <w:rPr>
                <w:rFonts w:ascii="Aptos" w:hAnsi="Aptos"/>
                <w:b/>
                <w:i w:val="0"/>
                <w:color w:val="17251D"/>
                <w:sz w:val="19"/>
              </w:rPr>
              <w:t>Build a neutral evidence map across vendors without generating final scores.</w:t>
            </w:r>
          </w:p>
        </w:tc>
      </w:tr>
      <w:tr>
        <w:tc>
          <w:tcPr>
            <w:tcW w:type="dxa" w:w="2160"/>
            <w:tcMar>
              <w:top w:w="130" w:type="dxa"/>
              <w:start w:w="140" w:type="dxa"/>
              <w:bottom w:w="130" w:type="dxa"/>
              <w:end w:w="140" w:type="dxa"/>
            </w:tcMar>
            <w:vAlign w:val="center"/>
          </w:tcPr>
          <w:p>
            <w:r>
              <w:rPr>
                <w:rFonts w:ascii="Aptos" w:hAnsi="Aptos"/>
                <w:b w:val="0"/>
                <w:i w:val="0"/>
                <w:color w:val="17251D"/>
                <w:sz w:val="19"/>
              </w:rPr>
              <w:t>4. Validate</w:t>
            </w:r>
          </w:p>
        </w:tc>
        <w:tc>
          <w:tcPr>
            <w:tcW w:type="dxa" w:w="7632"/>
            <w:tcMar>
              <w:top w:w="130" w:type="dxa"/>
              <w:start w:w="140" w:type="dxa"/>
              <w:bottom w:w="130" w:type="dxa"/>
              <w:end w:w="140" w:type="dxa"/>
            </w:tcMar>
            <w:vAlign w:val="center"/>
          </w:tcPr>
          <w:p>
            <w:r>
              <w:rPr>
                <w:rFonts w:ascii="Aptos" w:hAnsi="Aptos"/>
                <w:b w:val="0"/>
                <w:i w:val="0"/>
                <w:color w:val="17251D"/>
                <w:sz w:val="19"/>
              </w:rPr>
              <w:t>Require evaluator verification, corrections, clarifications, and documented decisions.</w:t>
            </w:r>
          </w:p>
        </w:tc>
      </w:tr>
    </w:tbl>
    <w:p>
      <w:pPr>
        <w:pStyle w:val="Heading2"/>
      </w:pPr>
      <w:r>
        <w:t>Stage gate checklist</w:t>
      </w:r>
    </w:p>
    <w:p>
      <w:pPr>
        <w:pStyle w:val="ListBullet"/>
        <w:spacing w:after="80"/>
        <w:ind w:left="360" w:hanging="230"/>
      </w:pPr>
      <w:r>
        <w:rPr>
          <w:rFonts w:ascii="Aptos" w:hAnsi="Aptos"/>
          <w:b w:val="0"/>
          <w:i w:val="0"/>
          <w:color w:val="17251D"/>
          <w:sz w:val="20"/>
        </w:rPr>
        <w:t>Preparation gate: source list and AI-use approval documented.</w:t>
      </w:r>
    </w:p>
    <w:p>
      <w:pPr>
        <w:pStyle w:val="ListBullet"/>
        <w:spacing w:after="80"/>
        <w:ind w:left="360" w:hanging="230"/>
      </w:pPr>
      <w:r>
        <w:rPr>
          <w:rFonts w:ascii="Aptos" w:hAnsi="Aptos"/>
          <w:b w:val="0"/>
          <w:i w:val="0"/>
          <w:color w:val="17251D"/>
          <w:sz w:val="20"/>
        </w:rPr>
        <w:t>Extraction gate: every observation includes a source location.</w:t>
      </w:r>
    </w:p>
    <w:p>
      <w:pPr>
        <w:pStyle w:val="ListBullet"/>
        <w:spacing w:after="80"/>
        <w:ind w:left="360" w:hanging="230"/>
      </w:pPr>
      <w:r>
        <w:rPr>
          <w:rFonts w:ascii="Aptos" w:hAnsi="Aptos"/>
          <w:b w:val="0"/>
          <w:i w:val="0"/>
          <w:color w:val="17251D"/>
          <w:sz w:val="20"/>
        </w:rPr>
        <w:t>Comparison gate: no model-generated vendor rank or award recommendation.</w:t>
      </w:r>
    </w:p>
    <w:p>
      <w:pPr>
        <w:pStyle w:val="ListBullet"/>
        <w:spacing w:after="80"/>
        <w:ind w:left="360" w:hanging="230"/>
      </w:pPr>
      <w:r>
        <w:rPr>
          <w:rFonts w:ascii="Aptos" w:hAnsi="Aptos"/>
          <w:b w:val="0"/>
          <w:i w:val="0"/>
          <w:color w:val="17251D"/>
          <w:sz w:val="20"/>
        </w:rPr>
        <w:t>Validation gate: accountable humans confirm all material statements.</w:t>
      </w:r>
    </w:p>
    <w:p>
      <w:r>
        <w:br w:type="page"/>
      </w:r>
    </w:p>
    <w:p>
      <w:pPr>
        <w:pStyle w:val="Heading1"/>
      </w:pPr>
      <w:r>
        <w:t>Prompt set 1: evidence extraction</w:t>
      </w:r>
    </w:p>
    <w:p>
      <w:pPr>
        <w:spacing w:before="0" w:after="120"/>
      </w:pPr>
      <w:r>
        <w:rPr>
          <w:rFonts w:ascii="Aptos" w:hAnsi="Aptos"/>
          <w:b w:val="0"/>
          <w:i w:val="0"/>
          <w:color w:val="17251D"/>
          <w:sz w:val="21"/>
        </w:rPr>
        <w:t>Run prompts separately for each vendor before asking for any cross-vendor comparison. This reduces anchoring and keeps the source trail easier to inspect.</w:t>
      </w:r>
    </w:p>
    <w:tbl>
      <w:tblPr>
        <w:tblW w:type="auto" w:w="0"/>
        <w:jc w:val="center"/>
        <w:tblLayout w:type="fixed"/>
        <w:tblLook w:firstColumn="1" w:firstRow="1" w:lastColumn="0" w:lastRow="0" w:noHBand="0" w:noVBand="1" w:val="04A0"/>
      </w:tblPr>
      <w:tblGrid>
        <w:gridCol w:w="9792"/>
      </w:tblGrid>
      <w:tr>
        <w:tc>
          <w:tcPr>
            <w:tcW w:type="dxa" w:w="9994"/>
            <w:shd w:fill="E9EAE2"/>
            <w:tcMar>
              <w:top w:w="160" w:type="dxa"/>
              <w:start w:w="180" w:type="dxa"/>
              <w:bottom w:w="160" w:type="dxa"/>
              <w:end w:w="180" w:type="dxa"/>
            </w:tcMar>
          </w:tcPr>
          <w:p>
            <w:r>
              <w:rPr>
                <w:rFonts w:ascii="Aptos" w:hAnsi="Aptos"/>
                <w:b/>
                <w:i w:val="0"/>
                <w:color w:val="EF6B4F"/>
                <w:sz w:val="18"/>
              </w:rPr>
              <w:t>Prompt 1 - Requirement evidence map</w:t>
            </w:r>
          </w:p>
          <w:p>
            <w:pPr>
              <w:spacing w:after="0"/>
            </w:pPr>
            <w:r>
              <w:rPr>
                <w:rFonts w:ascii="Consolas" w:hAnsi="Consolas"/>
                <w:b w:val="0"/>
                <w:i w:val="0"/>
                <w:color w:val="17251D"/>
                <w:sz w:val="18"/>
              </w:rPr>
              <w:t xml:space="preserve">Using only the supplied proposal, review each listed requirement. Return: requirement ID; exact vendor statement or concise excerpt; source page/section; stated limitation or dependency; missing information. Do not infer compliance. If support is absent, write "not established." </w:t>
            </w:r>
          </w:p>
        </w:tc>
      </w:tr>
    </w:tbl>
    <w:p>
      <w:pPr>
        <w:spacing w:after="20"/>
      </w:pPr>
    </w:p>
    <w:tbl>
      <w:tblPr>
        <w:tblW w:type="auto" w:w="0"/>
        <w:jc w:val="center"/>
        <w:tblLayout w:type="fixed"/>
        <w:tblLook w:firstColumn="1" w:firstRow="1" w:lastColumn="0" w:lastRow="0" w:noHBand="0" w:noVBand="1" w:val="04A0"/>
      </w:tblPr>
      <w:tblGrid>
        <w:gridCol w:w="9792"/>
      </w:tblGrid>
      <w:tr>
        <w:tc>
          <w:tcPr>
            <w:tcW w:type="dxa" w:w="9994"/>
            <w:shd w:fill="E9EAE2"/>
            <w:tcMar>
              <w:top w:w="160" w:type="dxa"/>
              <w:start w:w="180" w:type="dxa"/>
              <w:bottom w:w="160" w:type="dxa"/>
              <w:end w:w="180" w:type="dxa"/>
            </w:tcMar>
          </w:tcPr>
          <w:p>
            <w:r>
              <w:rPr>
                <w:rFonts w:ascii="Aptos" w:hAnsi="Aptos"/>
                <w:b/>
                <w:i w:val="0"/>
                <w:color w:val="EF6B4F"/>
                <w:sz w:val="18"/>
              </w:rPr>
              <w:t>Prompt 2 - Exceptions and dependencies</w:t>
            </w:r>
          </w:p>
          <w:p>
            <w:pPr>
              <w:spacing w:after="0"/>
            </w:pPr>
            <w:r>
              <w:rPr>
                <w:rFonts w:ascii="Consolas" w:hAnsi="Consolas"/>
                <w:b w:val="0"/>
                <w:i w:val="0"/>
                <w:color w:val="17251D"/>
                <w:sz w:val="18"/>
              </w:rPr>
              <w:t>Identify every explicit exception, assumption, dependency, prerequisite, optional component, third-party reliance, or future commitment in the supplied response. Cite the source location. Do not decide whether an item is acceptable.</w:t>
            </w:r>
          </w:p>
        </w:tc>
      </w:tr>
    </w:tbl>
    <w:p>
      <w:pPr>
        <w:spacing w:after="20"/>
      </w:pPr>
    </w:p>
    <w:tbl>
      <w:tblPr>
        <w:tblW w:type="auto" w:w="0"/>
        <w:jc w:val="center"/>
        <w:tblLayout w:type="fixed"/>
        <w:tblLook w:firstColumn="1" w:firstRow="1" w:lastColumn="0" w:lastRow="0" w:noHBand="0" w:noVBand="1" w:val="04A0"/>
      </w:tblPr>
      <w:tblGrid>
        <w:gridCol w:w="9792"/>
      </w:tblGrid>
      <w:tr>
        <w:tc>
          <w:tcPr>
            <w:tcW w:type="dxa" w:w="9994"/>
            <w:shd w:fill="E9EAE2"/>
            <w:tcMar>
              <w:top w:w="160" w:type="dxa"/>
              <w:start w:w="180" w:type="dxa"/>
              <w:bottom w:w="160" w:type="dxa"/>
              <w:end w:w="180" w:type="dxa"/>
            </w:tcMar>
          </w:tcPr>
          <w:p>
            <w:r>
              <w:rPr>
                <w:rFonts w:ascii="Aptos" w:hAnsi="Aptos"/>
                <w:b/>
                <w:i w:val="0"/>
                <w:color w:val="EF6B4F"/>
                <w:sz w:val="18"/>
              </w:rPr>
              <w:t>Prompt 3 - Evidence quality check</w:t>
            </w:r>
          </w:p>
          <w:p>
            <w:pPr>
              <w:spacing w:after="0"/>
            </w:pPr>
            <w:r>
              <w:rPr>
                <w:rFonts w:ascii="Consolas" w:hAnsi="Consolas"/>
                <w:b w:val="0"/>
                <w:i w:val="0"/>
                <w:color w:val="17251D"/>
                <w:sz w:val="18"/>
              </w:rPr>
              <w:t>For each material claim in the response, classify the support as: documented evidence; customer reference; assertion only; future roadmap; unclear. Include the source location and a short explanation. Do not score the claim.</w:t>
            </w:r>
          </w:p>
        </w:tc>
      </w:tr>
    </w:tbl>
    <w:p>
      <w:pPr>
        <w:spacing w:after="20"/>
      </w:pPr>
    </w:p>
    <w:tbl>
      <w:tblPr>
        <w:tblW w:type="auto" w:w="0"/>
        <w:jc w:val="center"/>
        <w:tblLayout w:type="fixed"/>
        <w:tblLook w:firstColumn="1" w:firstRow="1" w:lastColumn="0" w:lastRow="0" w:noHBand="0" w:noVBand="1" w:val="04A0"/>
      </w:tblPr>
      <w:tblGrid>
        <w:gridCol w:w="9792"/>
      </w:tblGrid>
      <w:tr>
        <w:tc>
          <w:tcPr>
            <w:tcW w:type="dxa" w:w="9994"/>
            <w:shd w:fill="D8E0CE"/>
            <w:tcMar>
              <w:top w:w="170" w:type="dxa"/>
              <w:start w:w="190" w:type="dxa"/>
              <w:bottom w:w="170" w:type="dxa"/>
              <w:end w:w="190" w:type="dxa"/>
            </w:tcMar>
          </w:tcPr>
          <w:p>
            <w:pPr>
              <w:spacing w:after="80"/>
            </w:pPr>
            <w:r>
              <w:rPr>
                <w:rFonts w:ascii="Aptos" w:hAnsi="Aptos"/>
                <w:b/>
                <w:i w:val="0"/>
                <w:color w:val="EF6B4F"/>
                <w:sz w:val="16"/>
              </w:rPr>
              <w:t>REVIEWER INSTRUCTION</w:t>
            </w:r>
          </w:p>
          <w:p>
            <w:pPr>
              <w:spacing w:after="0"/>
            </w:pPr>
            <w:r>
              <w:rPr>
                <w:rFonts w:ascii="Aptos" w:hAnsi="Aptos"/>
                <w:b w:val="0"/>
                <w:i w:val="0"/>
                <w:color w:val="17251D"/>
                <w:sz w:val="20"/>
              </w:rPr>
              <w:t>Open the proposal at every cited location. Correct inaccurate citations before the output enters an evaluation packet.</w:t>
            </w:r>
          </w:p>
        </w:tc>
      </w:tr>
    </w:tbl>
    <w:p>
      <w:pPr>
        <w:spacing w:after="20"/>
      </w:pPr>
    </w:p>
    <w:p>
      <w:r>
        <w:br w:type="page"/>
      </w:r>
    </w:p>
    <w:p>
      <w:pPr>
        <w:pStyle w:val="Heading1"/>
      </w:pPr>
      <w:r>
        <w:t>Prompt set 2: neutral comparison</w:t>
      </w:r>
    </w:p>
    <w:p>
      <w:pPr>
        <w:spacing w:before="0" w:after="120"/>
      </w:pPr>
      <w:r>
        <w:rPr>
          <w:rFonts w:ascii="Aptos" w:hAnsi="Aptos"/>
          <w:b w:val="0"/>
          <w:i w:val="0"/>
          <w:color w:val="17251D"/>
          <w:sz w:val="21"/>
        </w:rPr>
        <w:t>Only compare fields that were defined before proposals were reviewed. Avoid prompts such as 'Which vendor is best?'</w:t>
      </w:r>
    </w:p>
    <w:tbl>
      <w:tblPr>
        <w:tblW w:type="auto" w:w="0"/>
        <w:jc w:val="center"/>
        <w:tblLayout w:type="fixed"/>
        <w:tblLook w:firstColumn="1" w:firstRow="1" w:lastColumn="0" w:lastRow="0" w:noHBand="0" w:noVBand="1" w:val="04A0"/>
      </w:tblPr>
      <w:tblGrid>
        <w:gridCol w:w="9792"/>
      </w:tblGrid>
      <w:tr>
        <w:tc>
          <w:tcPr>
            <w:tcW w:type="dxa" w:w="9994"/>
            <w:shd w:fill="E9EAE2"/>
            <w:tcMar>
              <w:top w:w="160" w:type="dxa"/>
              <w:start w:w="180" w:type="dxa"/>
              <w:bottom w:w="160" w:type="dxa"/>
              <w:end w:w="180" w:type="dxa"/>
            </w:tcMar>
          </w:tcPr>
          <w:p>
            <w:r>
              <w:rPr>
                <w:rFonts w:ascii="Aptos" w:hAnsi="Aptos"/>
                <w:b/>
                <w:i w:val="0"/>
                <w:color w:val="EF6B4F"/>
                <w:sz w:val="18"/>
              </w:rPr>
              <w:t>Prompt 4 - Cross-vendor evidence table</w:t>
            </w:r>
          </w:p>
          <w:p>
            <w:pPr>
              <w:spacing w:after="0"/>
            </w:pPr>
            <w:r>
              <w:rPr>
                <w:rFonts w:ascii="Consolas" w:hAnsi="Consolas"/>
                <w:b w:val="0"/>
                <w:i w:val="0"/>
                <w:color w:val="17251D"/>
                <w:sz w:val="18"/>
              </w:rPr>
              <w:t>Using the verified evidence maps, create a side-by-side table by requirement. Preserve the evaluator-defined requirement order. Show each vendor's evidence status, limitation, and source citation. Do not rank vendors or calculate scores.</w:t>
            </w:r>
          </w:p>
        </w:tc>
      </w:tr>
    </w:tbl>
    <w:p>
      <w:pPr>
        <w:spacing w:after="20"/>
      </w:pPr>
    </w:p>
    <w:tbl>
      <w:tblPr>
        <w:tblW w:type="auto" w:w="0"/>
        <w:jc w:val="center"/>
        <w:tblLayout w:type="fixed"/>
        <w:tblLook w:firstColumn="1" w:firstRow="1" w:lastColumn="0" w:lastRow="0" w:noHBand="0" w:noVBand="1" w:val="04A0"/>
      </w:tblPr>
      <w:tblGrid>
        <w:gridCol w:w="9792"/>
      </w:tblGrid>
      <w:tr>
        <w:tc>
          <w:tcPr>
            <w:tcW w:type="dxa" w:w="9994"/>
            <w:shd w:fill="E9EAE2"/>
            <w:tcMar>
              <w:top w:w="160" w:type="dxa"/>
              <w:start w:w="180" w:type="dxa"/>
              <w:bottom w:w="160" w:type="dxa"/>
              <w:end w:w="180" w:type="dxa"/>
            </w:tcMar>
          </w:tcPr>
          <w:p>
            <w:r>
              <w:rPr>
                <w:rFonts w:ascii="Aptos" w:hAnsi="Aptos"/>
                <w:b/>
                <w:i w:val="0"/>
                <w:color w:val="EF6B4F"/>
                <w:sz w:val="18"/>
              </w:rPr>
              <w:t>Prompt 5 - Clarification candidates</w:t>
            </w:r>
          </w:p>
          <w:p>
            <w:pPr>
              <w:spacing w:after="0"/>
            </w:pPr>
            <w:r>
              <w:rPr>
                <w:rFonts w:ascii="Consolas" w:hAnsi="Consolas"/>
                <w:b w:val="0"/>
                <w:i w:val="0"/>
                <w:color w:val="17251D"/>
                <w:sz w:val="18"/>
              </w:rPr>
              <w:t>Identify material questions that could resolve missing, conflicting, conditional, or ambiguous information. Draft each question neutrally so it does not disclose another vendor's response or coach the vendor toward a preferred answer.</w:t>
            </w:r>
          </w:p>
        </w:tc>
      </w:tr>
    </w:tbl>
    <w:p>
      <w:pPr>
        <w:spacing w:after="20"/>
      </w:pPr>
    </w:p>
    <w:tbl>
      <w:tblPr>
        <w:tblW w:type="auto" w:w="0"/>
        <w:jc w:val="center"/>
        <w:tblLayout w:type="fixed"/>
        <w:tblLook w:firstColumn="1" w:firstRow="1" w:lastColumn="0" w:lastRow="0" w:noHBand="0" w:noVBand="1" w:val="04A0"/>
      </w:tblPr>
      <w:tblGrid>
        <w:gridCol w:w="9792"/>
      </w:tblGrid>
      <w:tr>
        <w:tc>
          <w:tcPr>
            <w:tcW w:type="dxa" w:w="9994"/>
            <w:shd w:fill="E9EAE2"/>
            <w:tcMar>
              <w:top w:w="160" w:type="dxa"/>
              <w:start w:w="180" w:type="dxa"/>
              <w:bottom w:w="160" w:type="dxa"/>
              <w:end w:w="180" w:type="dxa"/>
            </w:tcMar>
          </w:tcPr>
          <w:p>
            <w:r>
              <w:rPr>
                <w:rFonts w:ascii="Aptos" w:hAnsi="Aptos"/>
                <w:b/>
                <w:i w:val="0"/>
                <w:color w:val="EF6B4F"/>
                <w:sz w:val="18"/>
              </w:rPr>
              <w:t>Prompt 6 - Contradiction finder</w:t>
            </w:r>
          </w:p>
          <w:p>
            <w:pPr>
              <w:spacing w:after="0"/>
            </w:pPr>
            <w:r>
              <w:rPr>
                <w:rFonts w:ascii="Consolas" w:hAnsi="Consolas"/>
                <w:b w:val="0"/>
                <w:i w:val="0"/>
                <w:color w:val="17251D"/>
                <w:sz w:val="18"/>
              </w:rPr>
              <w:t>Within each vendor's supplied materials, identify statements that appear inconsistent. Quote or summarize both passages, cite both source locations, and explain the apparent tension without resolving it.</w:t>
            </w:r>
          </w:p>
        </w:tc>
      </w:tr>
    </w:tbl>
    <w:p>
      <w:pPr>
        <w:spacing w:after="20"/>
      </w:pPr>
    </w:p>
    <w:p>
      <w:pPr>
        <w:pStyle w:val="Heading2"/>
      </w:pPr>
      <w:r>
        <w:t>Poor prompt / better prompt</w:t>
      </w:r>
    </w:p>
    <w:tbl>
      <w:tblPr>
        <w:tblW w:type="auto" w:w="0"/>
        <w:jc w:val="center"/>
        <w:tblLayout w:type="fixed"/>
        <w:tblLook w:firstColumn="1" w:firstRow="1" w:lastColumn="0" w:lastRow="0" w:noHBand="0" w:noVBand="1" w:val="04A0"/>
      </w:tblPr>
      <w:tblGrid>
        <w:gridCol w:w="4896"/>
        <w:gridCol w:w="4896"/>
      </w:tblGrid>
      <w:tr>
        <w:tc>
          <w:tcPr>
            <w:tcW w:type="dxa" w:w="4997"/>
            <w:shd w:fill="17251D"/>
            <w:tcMar>
              <w:top w:w="100" w:type="dxa"/>
              <w:start w:w="130" w:type="dxa"/>
              <w:bottom w:w="100" w:type="dxa"/>
              <w:end w:w="130" w:type="dxa"/>
            </w:tcMar>
          </w:tcPr>
          <w:p>
            <w:r>
              <w:rPr>
                <w:rFonts w:ascii="Aptos" w:hAnsi="Aptos"/>
                <w:b/>
                <w:i w:val="0"/>
                <w:color w:val="FFFFFF"/>
                <w:sz w:val="18"/>
              </w:rPr>
              <w:t>Avoid</w:t>
            </w:r>
          </w:p>
        </w:tc>
        <w:tc>
          <w:tcPr>
            <w:tcW w:type="dxa" w:w="4997"/>
            <w:shd w:fill="17251D"/>
            <w:tcMar>
              <w:top w:w="100" w:type="dxa"/>
              <w:start w:w="130" w:type="dxa"/>
              <w:bottom w:w="100" w:type="dxa"/>
              <w:end w:w="130" w:type="dxa"/>
            </w:tcMar>
          </w:tcPr>
          <w:p>
            <w:r>
              <w:rPr>
                <w:rFonts w:ascii="Aptos" w:hAnsi="Aptos"/>
                <w:b/>
                <w:i w:val="0"/>
                <w:color w:val="FFFFFF"/>
                <w:sz w:val="18"/>
              </w:rPr>
              <w:t>Use instead</w:t>
            </w:r>
          </w:p>
        </w:tc>
      </w:tr>
      <w:tr>
        <w:tc>
          <w:tcPr>
            <w:tcW w:type="dxa" w:w="4896"/>
            <w:tcMar>
              <w:top w:w="100" w:type="dxa"/>
              <w:start w:w="130" w:type="dxa"/>
              <w:bottom w:w="100" w:type="dxa"/>
              <w:end w:w="130" w:type="dxa"/>
            </w:tcMar>
          </w:tcPr>
          <w:p>
            <w:r>
              <w:rPr>
                <w:rFonts w:ascii="Aptos" w:hAnsi="Aptos"/>
                <w:b w:val="0"/>
                <w:i w:val="0"/>
                <w:color w:val="17251D"/>
                <w:sz w:val="18"/>
              </w:rPr>
              <w:t>Rank the proposals from best to worst.</w:t>
            </w:r>
          </w:p>
        </w:tc>
        <w:tc>
          <w:tcPr>
            <w:tcW w:type="dxa" w:w="4896"/>
            <w:tcMar>
              <w:top w:w="100" w:type="dxa"/>
              <w:start w:w="130" w:type="dxa"/>
              <w:bottom w:w="100" w:type="dxa"/>
              <w:end w:w="130" w:type="dxa"/>
            </w:tcMar>
          </w:tcPr>
          <w:p>
            <w:r>
              <w:rPr>
                <w:rFonts w:ascii="Aptos" w:hAnsi="Aptos"/>
                <w:b w:val="0"/>
                <w:i w:val="0"/>
                <w:color w:val="17251D"/>
                <w:sz w:val="18"/>
              </w:rPr>
              <w:t>Organize verified evidence by the predefined criteria.</w:t>
            </w:r>
          </w:p>
        </w:tc>
      </w:tr>
      <w:tr>
        <w:tc>
          <w:tcPr>
            <w:tcW w:type="dxa" w:w="4896"/>
            <w:tcMar>
              <w:top w:w="100" w:type="dxa"/>
              <w:start w:w="130" w:type="dxa"/>
              <w:bottom w:w="100" w:type="dxa"/>
              <w:end w:w="130" w:type="dxa"/>
            </w:tcMar>
          </w:tcPr>
          <w:p>
            <w:r>
              <w:rPr>
                <w:rFonts w:ascii="Aptos" w:hAnsi="Aptos"/>
                <w:b w:val="0"/>
                <w:i w:val="0"/>
                <w:color w:val="17251D"/>
                <w:sz w:val="18"/>
              </w:rPr>
              <w:t>Tell me which vendor is compliant.</w:t>
            </w:r>
          </w:p>
        </w:tc>
        <w:tc>
          <w:tcPr>
            <w:tcW w:type="dxa" w:w="4896"/>
            <w:tcMar>
              <w:top w:w="100" w:type="dxa"/>
              <w:start w:w="130" w:type="dxa"/>
              <w:bottom w:w="100" w:type="dxa"/>
              <w:end w:w="130" w:type="dxa"/>
            </w:tcMar>
          </w:tcPr>
          <w:p>
            <w:r>
              <w:rPr>
                <w:rFonts w:ascii="Aptos" w:hAnsi="Aptos"/>
                <w:b w:val="0"/>
                <w:i w:val="0"/>
                <w:color w:val="17251D"/>
                <w:sz w:val="18"/>
              </w:rPr>
              <w:t>Identify passages requiring qualified compliance review.</w:t>
            </w:r>
          </w:p>
        </w:tc>
      </w:tr>
      <w:tr>
        <w:tc>
          <w:tcPr>
            <w:tcW w:type="dxa" w:w="4896"/>
            <w:tcMar>
              <w:top w:w="100" w:type="dxa"/>
              <w:start w:w="130" w:type="dxa"/>
              <w:bottom w:w="100" w:type="dxa"/>
              <w:end w:w="130" w:type="dxa"/>
            </w:tcMar>
          </w:tcPr>
          <w:p>
            <w:r>
              <w:rPr>
                <w:rFonts w:ascii="Aptos" w:hAnsi="Aptos"/>
                <w:b w:val="0"/>
                <w:i w:val="0"/>
                <w:color w:val="17251D"/>
                <w:sz w:val="18"/>
              </w:rPr>
              <w:t>Fill in missing answers based on context.</w:t>
            </w:r>
          </w:p>
        </w:tc>
        <w:tc>
          <w:tcPr>
            <w:tcW w:type="dxa" w:w="4896"/>
            <w:tcMar>
              <w:top w:w="100" w:type="dxa"/>
              <w:start w:w="130" w:type="dxa"/>
              <w:bottom w:w="100" w:type="dxa"/>
              <w:end w:w="130" w:type="dxa"/>
            </w:tcMar>
          </w:tcPr>
          <w:p>
            <w:r>
              <w:rPr>
                <w:rFonts w:ascii="Aptos" w:hAnsi="Aptos"/>
                <w:b w:val="0"/>
                <w:i w:val="0"/>
                <w:color w:val="17251D"/>
                <w:sz w:val="18"/>
              </w:rPr>
              <w:t>Mark missing evidence as not established.</w:t>
            </w:r>
          </w:p>
        </w:tc>
      </w:tr>
    </w:tbl>
    <w:p>
      <w:r>
        <w:br w:type="page"/>
      </w:r>
    </w:p>
    <w:p>
      <w:pPr>
        <w:pStyle w:val="Heading1"/>
      </w:pPr>
      <w:r>
        <w:t>Human review protocol</w:t>
      </w:r>
    </w:p>
    <w:p>
      <w:pPr>
        <w:spacing w:before="0" w:after="120"/>
      </w:pPr>
      <w:r>
        <w:rPr>
          <w:rFonts w:ascii="Aptos" w:hAnsi="Aptos"/>
          <w:b w:val="0"/>
          <w:i w:val="0"/>
          <w:color w:val="17251D"/>
          <w:sz w:val="21"/>
        </w:rPr>
        <w:t>AI output becomes usable only after an accountable person verifies it. Use the protocol below before sharing an AI-assisted comparison with evaluators.</w:t>
      </w:r>
    </w:p>
    <w:p>
      <w:pPr>
        <w:pStyle w:val="ListNumber"/>
        <w:spacing w:after="100"/>
        <w:ind w:left="432" w:hanging="259"/>
      </w:pPr>
      <w:r>
        <w:rPr>
          <w:rFonts w:ascii="Aptos" w:hAnsi="Aptos"/>
          <w:b w:val="0"/>
          <w:i w:val="0"/>
          <w:color w:val="17251D"/>
          <w:sz w:val="20"/>
        </w:rPr>
        <w:t>Verify each source citation against the original proposal.</w:t>
      </w:r>
    </w:p>
    <w:p>
      <w:pPr>
        <w:pStyle w:val="ListNumber"/>
        <w:spacing w:after="100"/>
        <w:ind w:left="432" w:hanging="259"/>
      </w:pPr>
      <w:r>
        <w:rPr>
          <w:rFonts w:ascii="Aptos" w:hAnsi="Aptos"/>
          <w:b w:val="0"/>
          <w:i w:val="0"/>
          <w:color w:val="17251D"/>
          <w:sz w:val="20"/>
        </w:rPr>
        <w:t>Confirm that the excerpt preserves important qualifiers and context.</w:t>
      </w:r>
    </w:p>
    <w:p>
      <w:pPr>
        <w:pStyle w:val="ListNumber"/>
        <w:spacing w:after="100"/>
        <w:ind w:left="432" w:hanging="259"/>
      </w:pPr>
      <w:r>
        <w:rPr>
          <w:rFonts w:ascii="Aptos" w:hAnsi="Aptos"/>
          <w:b w:val="0"/>
          <w:i w:val="0"/>
          <w:color w:val="17251D"/>
          <w:sz w:val="20"/>
        </w:rPr>
        <w:t>Check tables, footnotes, appendices, hyperlinks, and exception schedules.</w:t>
      </w:r>
    </w:p>
    <w:p>
      <w:pPr>
        <w:pStyle w:val="ListNumber"/>
        <w:spacing w:after="100"/>
        <w:ind w:left="432" w:hanging="259"/>
      </w:pPr>
      <w:r>
        <w:rPr>
          <w:rFonts w:ascii="Aptos" w:hAnsi="Aptos"/>
          <w:b w:val="0"/>
          <w:i w:val="0"/>
          <w:color w:val="17251D"/>
          <w:sz w:val="20"/>
        </w:rPr>
        <w:t>Remove unsupported inference, sentiment, ranking, or scoring.</w:t>
      </w:r>
    </w:p>
    <w:p>
      <w:pPr>
        <w:pStyle w:val="ListNumber"/>
        <w:spacing w:after="100"/>
        <w:ind w:left="432" w:hanging="259"/>
      </w:pPr>
      <w:r>
        <w:rPr>
          <w:rFonts w:ascii="Aptos" w:hAnsi="Aptos"/>
          <w:b w:val="0"/>
          <w:i w:val="0"/>
          <w:color w:val="17251D"/>
          <w:sz w:val="20"/>
        </w:rPr>
        <w:t>Separate vendor statements from evaluator observations.</w:t>
      </w:r>
    </w:p>
    <w:p>
      <w:pPr>
        <w:pStyle w:val="ListNumber"/>
        <w:spacing w:after="100"/>
        <w:ind w:left="432" w:hanging="259"/>
      </w:pPr>
      <w:r>
        <w:rPr>
          <w:rFonts w:ascii="Aptos" w:hAnsi="Aptos"/>
          <w:b w:val="0"/>
          <w:i w:val="0"/>
          <w:color w:val="17251D"/>
          <w:sz w:val="20"/>
        </w:rPr>
        <w:t>Record corrections in the AI Use Log tab of the workbook.</w:t>
      </w:r>
    </w:p>
    <w:p>
      <w:pPr>
        <w:pStyle w:val="ListNumber"/>
        <w:spacing w:after="100"/>
        <w:ind w:left="432" w:hanging="259"/>
      </w:pPr>
      <w:r>
        <w:rPr>
          <w:rFonts w:ascii="Aptos" w:hAnsi="Aptos"/>
          <w:b w:val="0"/>
          <w:i w:val="0"/>
          <w:color w:val="17251D"/>
          <w:sz w:val="20"/>
        </w:rPr>
        <w:t>Escalate legal, security, privacy, regulatory, financial, and technical interpretations.</w:t>
      </w:r>
    </w:p>
    <w:p>
      <w:pPr>
        <w:pStyle w:val="ListNumber"/>
        <w:spacing w:after="100"/>
        <w:ind w:left="432" w:hanging="259"/>
      </w:pPr>
      <w:r>
        <w:rPr>
          <w:rFonts w:ascii="Aptos" w:hAnsi="Aptos"/>
          <w:b w:val="0"/>
          <w:i w:val="0"/>
          <w:color w:val="17251D"/>
          <w:sz w:val="20"/>
        </w:rPr>
        <w:t>Release only the validated version to the evaluation team.</w:t>
      </w:r>
    </w:p>
    <w:tbl>
      <w:tblPr>
        <w:tblW w:type="auto" w:w="0"/>
        <w:jc w:val="center"/>
        <w:tblLayout w:type="fixed"/>
        <w:tblLook w:firstColumn="1" w:firstRow="1" w:lastColumn="0" w:lastRow="0" w:noHBand="0" w:noVBand="1" w:val="04A0"/>
      </w:tblPr>
      <w:tblGrid>
        <w:gridCol w:w="9792"/>
      </w:tblGrid>
      <w:tr>
        <w:tc>
          <w:tcPr>
            <w:tcW w:type="dxa" w:w="9994"/>
            <w:shd w:fill="D8E0CE"/>
            <w:tcMar>
              <w:top w:w="170" w:type="dxa"/>
              <w:start w:w="190" w:type="dxa"/>
              <w:bottom w:w="170" w:type="dxa"/>
              <w:end w:w="190" w:type="dxa"/>
            </w:tcMar>
          </w:tcPr>
          <w:p>
            <w:pPr>
              <w:spacing w:after="80"/>
            </w:pPr>
            <w:r>
              <w:rPr>
                <w:rFonts w:ascii="Aptos" w:hAnsi="Aptos"/>
                <w:b/>
                <w:i w:val="0"/>
                <w:color w:val="EF6B4F"/>
                <w:sz w:val="16"/>
              </w:rPr>
              <w:t>BIAS CONTROL</w:t>
            </w:r>
          </w:p>
          <w:p>
            <w:pPr>
              <w:spacing w:after="0"/>
            </w:pPr>
            <w:r>
              <w:rPr>
                <w:rFonts w:ascii="Aptos" w:hAnsi="Aptos"/>
                <w:b w:val="0"/>
                <w:i w:val="0"/>
                <w:color w:val="17251D"/>
                <w:sz w:val="20"/>
              </w:rPr>
              <w:t>Consider withholding cross-vendor AI summaries until evaluators have completed an initial independent review. Follow the evaluation plan and applicable procurement policy.</w:t>
            </w:r>
          </w:p>
        </w:tc>
      </w:tr>
    </w:tbl>
    <w:p>
      <w:pPr>
        <w:spacing w:after="20"/>
      </w:pPr>
    </w:p>
    <w:p>
      <w:pPr>
        <w:pStyle w:val="Heading2"/>
      </w:pPr>
      <w:r>
        <w:t>Minimum documentation</w:t>
      </w:r>
    </w:p>
    <w:p>
      <w:pPr>
        <w:pStyle w:val="ListBullet"/>
        <w:spacing w:after="80"/>
        <w:ind w:left="360" w:hanging="230"/>
      </w:pPr>
      <w:r>
        <w:rPr>
          <w:rFonts w:ascii="Aptos" w:hAnsi="Aptos"/>
          <w:b w:val="0"/>
          <w:i w:val="0"/>
          <w:color w:val="17251D"/>
          <w:sz w:val="20"/>
        </w:rPr>
        <w:t>Tool and model used</w:t>
      </w:r>
    </w:p>
    <w:p>
      <w:pPr>
        <w:pStyle w:val="ListBullet"/>
        <w:spacing w:after="80"/>
        <w:ind w:left="360" w:hanging="230"/>
      </w:pPr>
      <w:r>
        <w:rPr>
          <w:rFonts w:ascii="Aptos" w:hAnsi="Aptos"/>
          <w:b w:val="0"/>
          <w:i w:val="0"/>
          <w:color w:val="17251D"/>
          <w:sz w:val="20"/>
        </w:rPr>
        <w:t>Date of analysis</w:t>
      </w:r>
    </w:p>
    <w:p>
      <w:pPr>
        <w:pStyle w:val="ListBullet"/>
        <w:spacing w:after="80"/>
        <w:ind w:left="360" w:hanging="230"/>
      </w:pPr>
      <w:r>
        <w:rPr>
          <w:rFonts w:ascii="Aptos" w:hAnsi="Aptos"/>
          <w:b w:val="0"/>
          <w:i w:val="0"/>
          <w:color w:val="17251D"/>
          <w:sz w:val="20"/>
        </w:rPr>
        <w:t>Files and versions supplied</w:t>
      </w:r>
    </w:p>
    <w:p>
      <w:pPr>
        <w:pStyle w:val="ListBullet"/>
        <w:spacing w:after="80"/>
        <w:ind w:left="360" w:hanging="230"/>
      </w:pPr>
      <w:r>
        <w:rPr>
          <w:rFonts w:ascii="Aptos" w:hAnsi="Aptos"/>
          <w:b w:val="0"/>
          <w:i w:val="0"/>
          <w:color w:val="17251D"/>
          <w:sz w:val="20"/>
        </w:rPr>
        <w:t>Prompts used</w:t>
      </w:r>
    </w:p>
    <w:p>
      <w:pPr>
        <w:pStyle w:val="ListBullet"/>
        <w:spacing w:after="80"/>
        <w:ind w:left="360" w:hanging="230"/>
      </w:pPr>
      <w:r>
        <w:rPr>
          <w:rFonts w:ascii="Aptos" w:hAnsi="Aptos"/>
          <w:b w:val="0"/>
          <w:i w:val="0"/>
          <w:color w:val="17251D"/>
          <w:sz w:val="20"/>
        </w:rPr>
        <w:t>Reviewer and review date</w:t>
      </w:r>
    </w:p>
    <w:p>
      <w:pPr>
        <w:pStyle w:val="ListBullet"/>
        <w:spacing w:after="80"/>
        <w:ind w:left="360" w:hanging="230"/>
      </w:pPr>
      <w:r>
        <w:rPr>
          <w:rFonts w:ascii="Aptos" w:hAnsi="Aptos"/>
          <w:b w:val="0"/>
          <w:i w:val="0"/>
          <w:color w:val="17251D"/>
          <w:sz w:val="20"/>
        </w:rPr>
        <w:t>Material corrections or rejected output</w:t>
      </w:r>
    </w:p>
    <w:p>
      <w:r>
        <w:br w:type="page"/>
      </w:r>
    </w:p>
    <w:p>
      <w:pPr>
        <w:pStyle w:val="Heading1"/>
      </w:pPr>
      <w:r>
        <w:t>Data safety checklist</w:t>
      </w:r>
    </w:p>
    <w:p>
      <w:pPr>
        <w:spacing w:before="0" w:after="120"/>
      </w:pPr>
      <w:r>
        <w:rPr>
          <w:rFonts w:ascii="Aptos" w:hAnsi="Aptos"/>
          <w:b w:val="0"/>
          <w:i w:val="0"/>
          <w:color w:val="17251D"/>
          <w:sz w:val="21"/>
        </w:rPr>
        <w:t>Complete this check before placing any proposal content into an AI system.</w:t>
      </w:r>
    </w:p>
    <w:tbl>
      <w:tblPr>
        <w:tblW w:type="auto" w:w="0"/>
        <w:jc w:val="center"/>
        <w:tblLayout w:type="fixed"/>
        <w:tblLook w:firstColumn="1" w:firstRow="1" w:lastColumn="0" w:lastRow="0" w:noHBand="0" w:noVBand="1" w:val="04A0"/>
      </w:tblPr>
      <w:tblGrid>
        <w:gridCol w:w="2088"/>
        <w:gridCol w:w="6696"/>
        <w:gridCol w:w="1008"/>
      </w:tblGrid>
      <w:tr>
        <w:tc>
          <w:tcPr>
            <w:tcW w:type="dxa" w:w="3331"/>
            <w:shd w:fill="17251D"/>
            <w:tcMar>
              <w:top w:w="100" w:type="dxa"/>
              <w:start w:w="130" w:type="dxa"/>
              <w:bottom w:w="100" w:type="dxa"/>
              <w:end w:w="130" w:type="dxa"/>
            </w:tcMar>
          </w:tcPr>
          <w:p>
            <w:r>
              <w:rPr>
                <w:rFonts w:ascii="Aptos" w:hAnsi="Aptos"/>
                <w:b/>
                <w:i w:val="0"/>
                <w:color w:val="FFFFFF"/>
                <w:sz w:val="18"/>
              </w:rPr>
              <w:t>Check</w:t>
            </w:r>
          </w:p>
        </w:tc>
        <w:tc>
          <w:tcPr>
            <w:tcW w:type="dxa" w:w="3331"/>
            <w:shd w:fill="17251D"/>
            <w:tcMar>
              <w:top w:w="100" w:type="dxa"/>
              <w:start w:w="130" w:type="dxa"/>
              <w:bottom w:w="100" w:type="dxa"/>
              <w:end w:w="130" w:type="dxa"/>
            </w:tcMar>
          </w:tcPr>
          <w:p>
            <w:r>
              <w:rPr>
                <w:rFonts w:ascii="Aptos" w:hAnsi="Aptos"/>
                <w:b/>
                <w:i w:val="0"/>
                <w:color w:val="FFFFFF"/>
                <w:sz w:val="18"/>
              </w:rPr>
              <w:t>Question</w:t>
            </w:r>
          </w:p>
        </w:tc>
        <w:tc>
          <w:tcPr>
            <w:tcW w:type="dxa" w:w="3331"/>
            <w:shd w:fill="17251D"/>
            <w:tcMar>
              <w:top w:w="100" w:type="dxa"/>
              <w:start w:w="130" w:type="dxa"/>
              <w:bottom w:w="100" w:type="dxa"/>
              <w:end w:w="130" w:type="dxa"/>
            </w:tcMar>
          </w:tcPr>
          <w:p>
            <w:r>
              <w:rPr>
                <w:rFonts w:ascii="Aptos" w:hAnsi="Aptos"/>
                <w:b/>
                <w:i w:val="0"/>
                <w:color w:val="FFFFFF"/>
                <w:sz w:val="18"/>
              </w:rPr>
              <w:t>Done</w:t>
            </w:r>
          </w:p>
        </w:tc>
      </w:tr>
      <w:tr>
        <w:tc>
          <w:tcPr>
            <w:tcW w:type="dxa" w:w="2088"/>
            <w:tcMar>
              <w:top w:w="115" w:type="dxa"/>
              <w:start w:w="120" w:type="dxa"/>
              <w:bottom w:w="115" w:type="dxa"/>
              <w:end w:w="120" w:type="dxa"/>
            </w:tcMar>
            <w:vAlign w:val="center"/>
          </w:tcPr>
          <w:p>
            <w:r>
              <w:rPr>
                <w:rFonts w:ascii="Aptos" w:hAnsi="Aptos"/>
                <w:b w:val="0"/>
                <w:i w:val="0"/>
                <w:color w:val="17251D"/>
                <w:sz w:val="18"/>
              </w:rPr>
              <w:t>Tool approval</w:t>
            </w:r>
          </w:p>
        </w:tc>
        <w:tc>
          <w:tcPr>
            <w:tcW w:type="dxa" w:w="6696"/>
            <w:tcMar>
              <w:top w:w="115" w:type="dxa"/>
              <w:start w:w="120" w:type="dxa"/>
              <w:bottom w:w="115" w:type="dxa"/>
              <w:end w:w="120" w:type="dxa"/>
            </w:tcMar>
            <w:vAlign w:val="center"/>
          </w:tcPr>
          <w:p>
            <w:r>
              <w:rPr>
                <w:rFonts w:ascii="Aptos" w:hAnsi="Aptos"/>
                <w:b w:val="0"/>
                <w:i w:val="0"/>
                <w:color w:val="17251D"/>
                <w:sz w:val="18"/>
              </w:rPr>
              <w:t>Is the model or service approved for this business use?</w:t>
            </w:r>
          </w:p>
        </w:tc>
        <w:tc>
          <w:tcPr>
            <w:tcW w:type="dxa" w:w="1008"/>
            <w:tcMar>
              <w:top w:w="115" w:type="dxa"/>
              <w:start w:w="120" w:type="dxa"/>
              <w:bottom w:w="115" w:type="dxa"/>
              <w:end w:w="120" w:type="dxa"/>
            </w:tcMar>
            <w:vAlign w:val="center"/>
          </w:tcPr>
          <w:p>
            <w:pPr>
              <w:jc w:val="center"/>
            </w:pPr>
            <w:r>
              <w:rPr>
                <w:rFonts w:ascii="Aptos" w:hAnsi="Aptos"/>
                <w:b w:val="0"/>
                <w:i w:val="0"/>
                <w:color w:val="17251D"/>
                <w:sz w:val="18"/>
              </w:rPr>
              <w:t>☐</w:t>
            </w:r>
          </w:p>
        </w:tc>
      </w:tr>
      <w:tr>
        <w:tc>
          <w:tcPr>
            <w:tcW w:type="dxa" w:w="2088"/>
            <w:tcMar>
              <w:top w:w="115" w:type="dxa"/>
              <w:start w:w="120" w:type="dxa"/>
              <w:bottom w:w="115" w:type="dxa"/>
              <w:end w:w="120" w:type="dxa"/>
            </w:tcMar>
            <w:vAlign w:val="center"/>
          </w:tcPr>
          <w:p>
            <w:r>
              <w:rPr>
                <w:rFonts w:ascii="Aptos" w:hAnsi="Aptos"/>
                <w:b w:val="0"/>
                <w:i w:val="0"/>
                <w:color w:val="17251D"/>
                <w:sz w:val="18"/>
              </w:rPr>
              <w:t>Data classification</w:t>
            </w:r>
          </w:p>
        </w:tc>
        <w:tc>
          <w:tcPr>
            <w:tcW w:type="dxa" w:w="6696"/>
            <w:tcMar>
              <w:top w:w="115" w:type="dxa"/>
              <w:start w:w="120" w:type="dxa"/>
              <w:bottom w:w="115" w:type="dxa"/>
              <w:end w:w="120" w:type="dxa"/>
            </w:tcMar>
            <w:vAlign w:val="center"/>
          </w:tcPr>
          <w:p>
            <w:r>
              <w:rPr>
                <w:rFonts w:ascii="Aptos" w:hAnsi="Aptos"/>
                <w:b w:val="0"/>
                <w:i w:val="0"/>
                <w:color w:val="17251D"/>
                <w:sz w:val="18"/>
              </w:rPr>
              <w:t>What confidentiality, personal data, security, or contractual restrictions apply?</w:t>
            </w:r>
          </w:p>
        </w:tc>
        <w:tc>
          <w:tcPr>
            <w:tcW w:type="dxa" w:w="1008"/>
            <w:tcMar>
              <w:top w:w="115" w:type="dxa"/>
              <w:start w:w="120" w:type="dxa"/>
              <w:bottom w:w="115" w:type="dxa"/>
              <w:end w:w="120" w:type="dxa"/>
            </w:tcMar>
            <w:vAlign w:val="center"/>
          </w:tcPr>
          <w:p>
            <w:pPr>
              <w:jc w:val="center"/>
            </w:pPr>
            <w:r>
              <w:rPr>
                <w:rFonts w:ascii="Aptos" w:hAnsi="Aptos"/>
                <w:b w:val="0"/>
                <w:i w:val="0"/>
                <w:color w:val="17251D"/>
                <w:sz w:val="18"/>
              </w:rPr>
              <w:t>☐</w:t>
            </w:r>
          </w:p>
        </w:tc>
      </w:tr>
      <w:tr>
        <w:tc>
          <w:tcPr>
            <w:tcW w:type="dxa" w:w="2088"/>
            <w:tcMar>
              <w:top w:w="115" w:type="dxa"/>
              <w:start w:w="120" w:type="dxa"/>
              <w:bottom w:w="115" w:type="dxa"/>
              <w:end w:w="120" w:type="dxa"/>
            </w:tcMar>
            <w:vAlign w:val="center"/>
          </w:tcPr>
          <w:p>
            <w:r>
              <w:rPr>
                <w:rFonts w:ascii="Aptos" w:hAnsi="Aptos"/>
                <w:b w:val="0"/>
                <w:i w:val="0"/>
                <w:color w:val="17251D"/>
                <w:sz w:val="18"/>
              </w:rPr>
              <w:t>Training and retention</w:t>
            </w:r>
          </w:p>
        </w:tc>
        <w:tc>
          <w:tcPr>
            <w:tcW w:type="dxa" w:w="6696"/>
            <w:tcMar>
              <w:top w:w="115" w:type="dxa"/>
              <w:start w:w="120" w:type="dxa"/>
              <w:bottom w:w="115" w:type="dxa"/>
              <w:end w:w="120" w:type="dxa"/>
            </w:tcMar>
            <w:vAlign w:val="center"/>
          </w:tcPr>
          <w:p>
            <w:r>
              <w:rPr>
                <w:rFonts w:ascii="Aptos" w:hAnsi="Aptos"/>
                <w:b w:val="0"/>
                <w:i w:val="0"/>
                <w:color w:val="17251D"/>
                <w:sz w:val="18"/>
              </w:rPr>
              <w:t>Will the provider retain inputs or use them to train models?</w:t>
            </w:r>
          </w:p>
        </w:tc>
        <w:tc>
          <w:tcPr>
            <w:tcW w:type="dxa" w:w="1008"/>
            <w:tcMar>
              <w:top w:w="115" w:type="dxa"/>
              <w:start w:w="120" w:type="dxa"/>
              <w:bottom w:w="115" w:type="dxa"/>
              <w:end w:w="120" w:type="dxa"/>
            </w:tcMar>
            <w:vAlign w:val="center"/>
          </w:tcPr>
          <w:p>
            <w:pPr>
              <w:jc w:val="center"/>
            </w:pPr>
            <w:r>
              <w:rPr>
                <w:rFonts w:ascii="Aptos" w:hAnsi="Aptos"/>
                <w:b w:val="0"/>
                <w:i w:val="0"/>
                <w:color w:val="17251D"/>
                <w:sz w:val="18"/>
              </w:rPr>
              <w:t>☐</w:t>
            </w:r>
          </w:p>
        </w:tc>
      </w:tr>
      <w:tr>
        <w:tc>
          <w:tcPr>
            <w:tcW w:type="dxa" w:w="2088"/>
            <w:tcMar>
              <w:top w:w="115" w:type="dxa"/>
              <w:start w:w="120" w:type="dxa"/>
              <w:bottom w:w="115" w:type="dxa"/>
              <w:end w:w="120" w:type="dxa"/>
            </w:tcMar>
            <w:vAlign w:val="center"/>
          </w:tcPr>
          <w:p>
            <w:r>
              <w:rPr>
                <w:rFonts w:ascii="Aptos" w:hAnsi="Aptos"/>
                <w:b w:val="0"/>
                <w:i w:val="0"/>
                <w:color w:val="17251D"/>
                <w:sz w:val="18"/>
              </w:rPr>
              <w:t>Access</w:t>
            </w:r>
          </w:p>
        </w:tc>
        <w:tc>
          <w:tcPr>
            <w:tcW w:type="dxa" w:w="6696"/>
            <w:tcMar>
              <w:top w:w="115" w:type="dxa"/>
              <w:start w:w="120" w:type="dxa"/>
              <w:bottom w:w="115" w:type="dxa"/>
              <w:end w:w="120" w:type="dxa"/>
            </w:tcMar>
            <w:vAlign w:val="center"/>
          </w:tcPr>
          <w:p>
            <w:r>
              <w:rPr>
                <w:rFonts w:ascii="Aptos" w:hAnsi="Aptos"/>
                <w:b w:val="0"/>
                <w:i w:val="0"/>
                <w:color w:val="17251D"/>
                <w:sz w:val="18"/>
              </w:rPr>
              <w:t>Who can view prompts, files, output, and logs?</w:t>
            </w:r>
          </w:p>
        </w:tc>
        <w:tc>
          <w:tcPr>
            <w:tcW w:type="dxa" w:w="1008"/>
            <w:tcMar>
              <w:top w:w="115" w:type="dxa"/>
              <w:start w:w="120" w:type="dxa"/>
              <w:bottom w:w="115" w:type="dxa"/>
              <w:end w:w="120" w:type="dxa"/>
            </w:tcMar>
            <w:vAlign w:val="center"/>
          </w:tcPr>
          <w:p>
            <w:pPr>
              <w:jc w:val="center"/>
            </w:pPr>
            <w:r>
              <w:rPr>
                <w:rFonts w:ascii="Aptos" w:hAnsi="Aptos"/>
                <w:b w:val="0"/>
                <w:i w:val="0"/>
                <w:color w:val="17251D"/>
                <w:sz w:val="18"/>
              </w:rPr>
              <w:t>☐</w:t>
            </w:r>
          </w:p>
        </w:tc>
      </w:tr>
      <w:tr>
        <w:tc>
          <w:tcPr>
            <w:tcW w:type="dxa" w:w="2088"/>
            <w:tcMar>
              <w:top w:w="115" w:type="dxa"/>
              <w:start w:w="120" w:type="dxa"/>
              <w:bottom w:w="115" w:type="dxa"/>
              <w:end w:w="120" w:type="dxa"/>
            </w:tcMar>
            <w:vAlign w:val="center"/>
          </w:tcPr>
          <w:p>
            <w:r>
              <w:rPr>
                <w:rFonts w:ascii="Aptos" w:hAnsi="Aptos"/>
                <w:b w:val="0"/>
                <w:i w:val="0"/>
                <w:color w:val="17251D"/>
                <w:sz w:val="18"/>
              </w:rPr>
              <w:t>Location</w:t>
            </w:r>
          </w:p>
        </w:tc>
        <w:tc>
          <w:tcPr>
            <w:tcW w:type="dxa" w:w="6696"/>
            <w:tcMar>
              <w:top w:w="115" w:type="dxa"/>
              <w:start w:w="120" w:type="dxa"/>
              <w:bottom w:w="115" w:type="dxa"/>
              <w:end w:w="120" w:type="dxa"/>
            </w:tcMar>
            <w:vAlign w:val="center"/>
          </w:tcPr>
          <w:p>
            <w:r>
              <w:rPr>
                <w:rFonts w:ascii="Aptos" w:hAnsi="Aptos"/>
                <w:b w:val="0"/>
                <w:i w:val="0"/>
                <w:color w:val="17251D"/>
                <w:sz w:val="18"/>
              </w:rPr>
              <w:t>Are there geographic storage or processing requirements?</w:t>
            </w:r>
          </w:p>
        </w:tc>
        <w:tc>
          <w:tcPr>
            <w:tcW w:type="dxa" w:w="1008"/>
            <w:tcMar>
              <w:top w:w="115" w:type="dxa"/>
              <w:start w:w="120" w:type="dxa"/>
              <w:bottom w:w="115" w:type="dxa"/>
              <w:end w:w="120" w:type="dxa"/>
            </w:tcMar>
            <w:vAlign w:val="center"/>
          </w:tcPr>
          <w:p>
            <w:pPr>
              <w:jc w:val="center"/>
            </w:pPr>
            <w:r>
              <w:rPr>
                <w:rFonts w:ascii="Aptos" w:hAnsi="Aptos"/>
                <w:b w:val="0"/>
                <w:i w:val="0"/>
                <w:color w:val="17251D"/>
                <w:sz w:val="18"/>
              </w:rPr>
              <w:t>☐</w:t>
            </w:r>
          </w:p>
        </w:tc>
      </w:tr>
      <w:tr>
        <w:tc>
          <w:tcPr>
            <w:tcW w:type="dxa" w:w="2088"/>
            <w:tcMar>
              <w:top w:w="115" w:type="dxa"/>
              <w:start w:w="120" w:type="dxa"/>
              <w:bottom w:w="115" w:type="dxa"/>
              <w:end w:w="120" w:type="dxa"/>
            </w:tcMar>
            <w:vAlign w:val="center"/>
          </w:tcPr>
          <w:p>
            <w:r>
              <w:rPr>
                <w:rFonts w:ascii="Aptos" w:hAnsi="Aptos"/>
                <w:b w:val="0"/>
                <w:i w:val="0"/>
                <w:color w:val="17251D"/>
                <w:sz w:val="18"/>
              </w:rPr>
              <w:t>Redaction</w:t>
            </w:r>
          </w:p>
        </w:tc>
        <w:tc>
          <w:tcPr>
            <w:tcW w:type="dxa" w:w="6696"/>
            <w:tcMar>
              <w:top w:w="115" w:type="dxa"/>
              <w:start w:w="120" w:type="dxa"/>
              <w:bottom w:w="115" w:type="dxa"/>
              <w:end w:w="120" w:type="dxa"/>
            </w:tcMar>
            <w:vAlign w:val="center"/>
          </w:tcPr>
          <w:p>
            <w:r>
              <w:rPr>
                <w:rFonts w:ascii="Aptos" w:hAnsi="Aptos"/>
                <w:b w:val="0"/>
                <w:i w:val="0"/>
                <w:color w:val="17251D"/>
                <w:sz w:val="18"/>
              </w:rPr>
              <w:t>Can sensitive fields be removed without undermining the analysis?</w:t>
            </w:r>
          </w:p>
        </w:tc>
        <w:tc>
          <w:tcPr>
            <w:tcW w:type="dxa" w:w="1008"/>
            <w:tcMar>
              <w:top w:w="115" w:type="dxa"/>
              <w:start w:w="120" w:type="dxa"/>
              <w:bottom w:w="115" w:type="dxa"/>
              <w:end w:w="120" w:type="dxa"/>
            </w:tcMar>
            <w:vAlign w:val="center"/>
          </w:tcPr>
          <w:p>
            <w:pPr>
              <w:jc w:val="center"/>
            </w:pPr>
            <w:r>
              <w:rPr>
                <w:rFonts w:ascii="Aptos" w:hAnsi="Aptos"/>
                <w:b w:val="0"/>
                <w:i w:val="0"/>
                <w:color w:val="17251D"/>
                <w:sz w:val="18"/>
              </w:rPr>
              <w:t>☐</w:t>
            </w:r>
          </w:p>
        </w:tc>
      </w:tr>
      <w:tr>
        <w:tc>
          <w:tcPr>
            <w:tcW w:type="dxa" w:w="2088"/>
            <w:tcMar>
              <w:top w:w="115" w:type="dxa"/>
              <w:start w:w="120" w:type="dxa"/>
              <w:bottom w:w="115" w:type="dxa"/>
              <w:end w:w="120" w:type="dxa"/>
            </w:tcMar>
            <w:vAlign w:val="center"/>
          </w:tcPr>
          <w:p>
            <w:r>
              <w:rPr>
                <w:rFonts w:ascii="Aptos" w:hAnsi="Aptos"/>
                <w:b w:val="0"/>
                <w:i w:val="0"/>
                <w:color w:val="17251D"/>
                <w:sz w:val="18"/>
              </w:rPr>
              <w:t>Contract terms</w:t>
            </w:r>
          </w:p>
        </w:tc>
        <w:tc>
          <w:tcPr>
            <w:tcW w:type="dxa" w:w="6696"/>
            <w:tcMar>
              <w:top w:w="115" w:type="dxa"/>
              <w:start w:w="120" w:type="dxa"/>
              <w:bottom w:w="115" w:type="dxa"/>
              <w:end w:w="120" w:type="dxa"/>
            </w:tcMar>
            <w:vAlign w:val="center"/>
          </w:tcPr>
          <w:p>
            <w:r>
              <w:rPr>
                <w:rFonts w:ascii="Aptos" w:hAnsi="Aptos"/>
                <w:b w:val="0"/>
                <w:i w:val="0"/>
                <w:color w:val="17251D"/>
                <w:sz w:val="18"/>
              </w:rPr>
              <w:t>Do vendor or third-party terms restrict processing?</w:t>
            </w:r>
          </w:p>
        </w:tc>
        <w:tc>
          <w:tcPr>
            <w:tcW w:type="dxa" w:w="1008"/>
            <w:tcMar>
              <w:top w:w="115" w:type="dxa"/>
              <w:start w:w="120" w:type="dxa"/>
              <w:bottom w:w="115" w:type="dxa"/>
              <w:end w:w="120" w:type="dxa"/>
            </w:tcMar>
            <w:vAlign w:val="center"/>
          </w:tcPr>
          <w:p>
            <w:pPr>
              <w:jc w:val="center"/>
            </w:pPr>
            <w:r>
              <w:rPr>
                <w:rFonts w:ascii="Aptos" w:hAnsi="Aptos"/>
                <w:b w:val="0"/>
                <w:i w:val="0"/>
                <w:color w:val="17251D"/>
                <w:sz w:val="18"/>
              </w:rPr>
              <w:t>☐</w:t>
            </w:r>
          </w:p>
        </w:tc>
      </w:tr>
      <w:tr>
        <w:tc>
          <w:tcPr>
            <w:tcW w:type="dxa" w:w="2088"/>
            <w:tcMar>
              <w:top w:w="115" w:type="dxa"/>
              <w:start w:w="120" w:type="dxa"/>
              <w:bottom w:w="115" w:type="dxa"/>
              <w:end w:w="120" w:type="dxa"/>
            </w:tcMar>
            <w:vAlign w:val="center"/>
          </w:tcPr>
          <w:p>
            <w:r>
              <w:rPr>
                <w:rFonts w:ascii="Aptos" w:hAnsi="Aptos"/>
                <w:b w:val="0"/>
                <w:i w:val="0"/>
                <w:color w:val="17251D"/>
                <w:sz w:val="18"/>
              </w:rPr>
              <w:t>Recordkeeping</w:t>
            </w:r>
          </w:p>
        </w:tc>
        <w:tc>
          <w:tcPr>
            <w:tcW w:type="dxa" w:w="6696"/>
            <w:tcMar>
              <w:top w:w="115" w:type="dxa"/>
              <w:start w:w="120" w:type="dxa"/>
              <w:bottom w:w="115" w:type="dxa"/>
              <w:end w:w="120" w:type="dxa"/>
            </w:tcMar>
            <w:vAlign w:val="center"/>
          </w:tcPr>
          <w:p>
            <w:r>
              <w:rPr>
                <w:rFonts w:ascii="Aptos" w:hAnsi="Aptos"/>
                <w:b w:val="0"/>
                <w:i w:val="0"/>
                <w:color w:val="17251D"/>
                <w:sz w:val="18"/>
              </w:rPr>
              <w:t>Does the evaluation file need to retain prompts and outputs?</w:t>
            </w:r>
          </w:p>
        </w:tc>
        <w:tc>
          <w:tcPr>
            <w:tcW w:type="dxa" w:w="1008"/>
            <w:tcMar>
              <w:top w:w="115" w:type="dxa"/>
              <w:start w:w="120" w:type="dxa"/>
              <w:bottom w:w="115" w:type="dxa"/>
              <w:end w:w="120" w:type="dxa"/>
            </w:tcMar>
            <w:vAlign w:val="center"/>
          </w:tcPr>
          <w:p>
            <w:pPr>
              <w:jc w:val="center"/>
            </w:pPr>
            <w:r>
              <w:rPr>
                <w:rFonts w:ascii="Aptos" w:hAnsi="Aptos"/>
                <w:b w:val="0"/>
                <w:i w:val="0"/>
                <w:color w:val="17251D"/>
                <w:sz w:val="18"/>
              </w:rPr>
              <w:t>☐</w:t>
            </w:r>
          </w:p>
        </w:tc>
      </w:tr>
    </w:tbl>
    <w:p>
      <w:r>
        <w:br w:type="page"/>
      </w:r>
    </w:p>
    <w:p>
      <w:pPr>
        <w:pStyle w:val="Heading1"/>
      </w:pPr>
      <w:r>
        <w:t>Example: from proposal to review question</w:t>
      </w:r>
    </w:p>
    <w:p>
      <w:pPr>
        <w:spacing w:before="0" w:after="120"/>
      </w:pPr>
      <w:r>
        <w:rPr>
          <w:rFonts w:ascii="Aptos" w:hAnsi="Aptos"/>
          <w:b w:val="0"/>
          <w:i w:val="0"/>
          <w:color w:val="17251D"/>
          <w:sz w:val="21"/>
        </w:rPr>
        <w:t>The example below is fictional and demonstrates the discipline of preserving evidence and uncertainty.</w:t>
      </w:r>
    </w:p>
    <w:tbl>
      <w:tblPr>
        <w:tblW w:type="auto" w:w="0"/>
        <w:jc w:val="center"/>
        <w:tblLayout w:type="fixed"/>
        <w:tblLook w:firstColumn="1" w:firstRow="1" w:lastColumn="0" w:lastRow="0" w:noHBand="0" w:noVBand="1" w:val="04A0"/>
      </w:tblPr>
      <w:tblGrid>
        <w:gridCol w:w="9792"/>
      </w:tblGrid>
      <w:tr>
        <w:tc>
          <w:tcPr>
            <w:tcW w:type="dxa" w:w="9994"/>
            <w:shd w:fill="D8E0CE"/>
            <w:tcMar>
              <w:top w:w="170" w:type="dxa"/>
              <w:start w:w="190" w:type="dxa"/>
              <w:bottom w:w="170" w:type="dxa"/>
              <w:end w:w="190" w:type="dxa"/>
            </w:tcMar>
          </w:tcPr>
          <w:p>
            <w:pPr>
              <w:spacing w:after="80"/>
            </w:pPr>
            <w:r>
              <w:rPr>
                <w:rFonts w:ascii="Aptos" w:hAnsi="Aptos"/>
                <w:b/>
                <w:i w:val="0"/>
                <w:color w:val="EF6B4F"/>
                <w:sz w:val="16"/>
              </w:rPr>
              <w:t>REQUIREMENT</w:t>
            </w:r>
          </w:p>
          <w:p>
            <w:pPr>
              <w:spacing w:after="0"/>
            </w:pPr>
            <w:r>
              <w:rPr>
                <w:rFonts w:ascii="Aptos" w:hAnsi="Aptos"/>
                <w:b w:val="0"/>
                <w:i w:val="0"/>
                <w:color w:val="17251D"/>
                <w:sz w:val="20"/>
              </w:rPr>
              <w:t>The solution must support single sign-on using the organization's identity provider.</w:t>
            </w:r>
          </w:p>
        </w:tc>
      </w:tr>
    </w:tbl>
    <w:p>
      <w:pPr>
        <w:spacing w:after="20"/>
      </w:pPr>
    </w:p>
    <w:p>
      <w:pPr>
        <w:pStyle w:val="Heading2"/>
      </w:pPr>
      <w:r>
        <w:t>Vendor statement</w:t>
      </w:r>
    </w:p>
    <w:p>
      <w:pPr>
        <w:spacing w:before="0" w:after="120"/>
      </w:pPr>
      <w:r>
        <w:rPr>
          <w:rFonts w:ascii="Aptos" w:hAnsi="Aptos"/>
          <w:b w:val="0"/>
          <w:i w:val="0"/>
          <w:color w:val="17251D"/>
          <w:sz w:val="21"/>
        </w:rPr>
        <w:t>"SSO is available through our Enterprise tier and supports SAML 2.0. Configuration requires Professional Services."</w:t>
      </w:r>
    </w:p>
    <w:p>
      <w:pPr>
        <w:pStyle w:val="Heading2"/>
      </w:pPr>
      <w:r>
        <w:t>Acceptable AI extraction</w:t>
      </w:r>
    </w:p>
    <w:p>
      <w:pPr>
        <w:pStyle w:val="ListBullet"/>
        <w:spacing w:after="80"/>
        <w:ind w:left="360" w:hanging="230"/>
      </w:pPr>
      <w:r>
        <w:rPr>
          <w:rFonts w:ascii="Aptos" w:hAnsi="Aptos"/>
          <w:b w:val="0"/>
          <w:i w:val="0"/>
          <w:color w:val="17251D"/>
          <w:sz w:val="20"/>
        </w:rPr>
        <w:t>Evidence status: explicit statement provided.</w:t>
      </w:r>
    </w:p>
    <w:p>
      <w:pPr>
        <w:pStyle w:val="ListBullet"/>
        <w:spacing w:after="80"/>
        <w:ind w:left="360" w:hanging="230"/>
      </w:pPr>
      <w:r>
        <w:rPr>
          <w:rFonts w:ascii="Aptos" w:hAnsi="Aptos"/>
          <w:b w:val="0"/>
          <w:i w:val="0"/>
          <w:color w:val="17251D"/>
          <w:sz w:val="20"/>
        </w:rPr>
        <w:t>Conditions: Enterprise tier; Professional Services required.</w:t>
      </w:r>
    </w:p>
    <w:p>
      <w:pPr>
        <w:pStyle w:val="ListBullet"/>
        <w:spacing w:after="80"/>
        <w:ind w:left="360" w:hanging="230"/>
      </w:pPr>
      <w:r>
        <w:rPr>
          <w:rFonts w:ascii="Aptos" w:hAnsi="Aptos"/>
          <w:b w:val="0"/>
          <w:i w:val="0"/>
          <w:color w:val="17251D"/>
          <w:sz w:val="20"/>
        </w:rPr>
        <w:t>Source: proposal section 4.2 (fictional example).</w:t>
      </w:r>
    </w:p>
    <w:p>
      <w:pPr>
        <w:pStyle w:val="ListBullet"/>
        <w:spacing w:after="80"/>
        <w:ind w:left="360" w:hanging="230"/>
      </w:pPr>
      <w:r>
        <w:rPr>
          <w:rFonts w:ascii="Aptos" w:hAnsi="Aptos"/>
          <w:b w:val="0"/>
          <w:i w:val="0"/>
          <w:color w:val="17251D"/>
          <w:sz w:val="20"/>
        </w:rPr>
        <w:t>Open question: Does the proposed price include the required tier and configuration services?</w:t>
      </w:r>
    </w:p>
    <w:p>
      <w:pPr>
        <w:pStyle w:val="Heading2"/>
      </w:pPr>
      <w:r>
        <w:t>Unacceptable AI conclusion</w:t>
      </w:r>
    </w:p>
    <w:p>
      <w:pPr>
        <w:spacing w:before="0" w:after="120"/>
      </w:pPr>
      <w:r>
        <w:rPr>
          <w:rFonts w:ascii="Aptos" w:hAnsi="Aptos"/>
          <w:b w:val="0"/>
          <w:i/>
          <w:color w:val="9B1C1C"/>
          <w:sz w:val="21"/>
        </w:rPr>
        <w:t>"Vendor fully meets the SSO requirement and should receive maximum points."</w:t>
      </w:r>
    </w:p>
    <w:p>
      <w:pPr>
        <w:spacing w:before="0" w:after="120"/>
      </w:pPr>
      <w:r>
        <w:rPr>
          <w:rFonts w:ascii="Aptos" w:hAnsi="Aptos"/>
          <w:b w:val="0"/>
          <w:i w:val="0"/>
          <w:color w:val="17251D"/>
          <w:sz w:val="21"/>
        </w:rPr>
        <w:t>Why it fails: the source establishes availability but not commercial inclusion, implementation fit, schedule, or evaluator-defined scoring.</w:t>
      </w:r>
    </w:p>
    <w:p>
      <w:pPr>
        <w:pStyle w:val="Heading2"/>
      </w:pPr>
      <w:r>
        <w:t>Neutral clarification question</w:t>
      </w:r>
    </w:p>
    <w:tbl>
      <w:tblPr>
        <w:tblW w:type="auto" w:w="0"/>
        <w:jc w:val="center"/>
        <w:tblLayout w:type="fixed"/>
        <w:tblLook w:firstColumn="1" w:firstRow="1" w:lastColumn="0" w:lastRow="0" w:noHBand="0" w:noVBand="1" w:val="04A0"/>
      </w:tblPr>
      <w:tblGrid>
        <w:gridCol w:w="9792"/>
      </w:tblGrid>
      <w:tr>
        <w:tc>
          <w:tcPr>
            <w:tcW w:type="dxa" w:w="9994"/>
            <w:shd w:fill="E9EAE2"/>
            <w:tcMar>
              <w:top w:w="160" w:type="dxa"/>
              <w:start w:w="180" w:type="dxa"/>
              <w:bottom w:w="160" w:type="dxa"/>
              <w:end w:w="180" w:type="dxa"/>
            </w:tcMar>
          </w:tcPr>
          <w:p>
            <w:r>
              <w:rPr>
                <w:rFonts w:ascii="Aptos" w:hAnsi="Aptos"/>
                <w:b/>
                <w:i w:val="0"/>
                <w:color w:val="EF6B4F"/>
                <w:sz w:val="18"/>
              </w:rPr>
              <w:t>Draft question</w:t>
            </w:r>
          </w:p>
          <w:p>
            <w:pPr>
              <w:spacing w:after="0"/>
            </w:pPr>
            <w:r>
              <w:rPr>
                <w:rFonts w:ascii="Consolas" w:hAnsi="Consolas"/>
                <w:b w:val="0"/>
                <w:i w:val="0"/>
                <w:color w:val="17251D"/>
                <w:sz w:val="18"/>
              </w:rPr>
              <w:t>Please confirm whether the proposed subscription and implementation pricing includes the Enterprise tier and all Professional Services required to configure SAML 2.0 SSO. Identify any additional fees, dependencies, and estimated implementation time.</w:t>
            </w:r>
          </w:p>
        </w:tc>
      </w:tr>
    </w:tbl>
    <w:p>
      <w:pPr>
        <w:spacing w:after="20"/>
      </w:pPr>
    </w:p>
    <w:p>
      <w:r>
        <w:br w:type="page"/>
      </w:r>
    </w:p>
    <w:p>
      <w:pPr>
        <w:pStyle w:val="Heading1"/>
      </w:pPr>
      <w:r>
        <w:t>Workbook quick start</w:t>
      </w:r>
    </w:p>
    <w:p>
      <w:pPr>
        <w:spacing w:before="0" w:after="120"/>
      </w:pPr>
      <w:r>
        <w:rPr>
          <w:rFonts w:ascii="Aptos" w:hAnsi="Aptos"/>
          <w:b w:val="0"/>
          <w:i w:val="0"/>
          <w:color w:val="17251D"/>
          <w:sz w:val="21"/>
        </w:rPr>
        <w:t>The companion Excel workbook is designed to keep editable inputs, formulas, evidence, clarifications, and AI-use records in one traceable file.</w:t>
      </w:r>
    </w:p>
    <w:tbl>
      <w:tblPr>
        <w:tblW w:type="auto" w:w="0"/>
        <w:jc w:val="center"/>
        <w:tblLayout w:type="fixed"/>
        <w:tblLook w:firstColumn="1" w:firstRow="1" w:lastColumn="0" w:lastRow="0" w:noHBand="0" w:noVBand="1" w:val="04A0"/>
      </w:tblPr>
      <w:tblGrid>
        <w:gridCol w:w="2160"/>
        <w:gridCol w:w="7632"/>
      </w:tblGrid>
      <w:tr>
        <w:tc>
          <w:tcPr>
            <w:tcW w:type="dxa" w:w="4997"/>
            <w:shd w:fill="17251D"/>
            <w:tcMar>
              <w:top w:w="100" w:type="dxa"/>
              <w:start w:w="130" w:type="dxa"/>
              <w:bottom w:w="100" w:type="dxa"/>
              <w:end w:w="130" w:type="dxa"/>
            </w:tcMar>
          </w:tcPr>
          <w:p>
            <w:r>
              <w:rPr>
                <w:rFonts w:ascii="Aptos" w:hAnsi="Aptos"/>
                <w:b/>
                <w:i w:val="0"/>
                <w:color w:val="FFFFFF"/>
                <w:sz w:val="18"/>
              </w:rPr>
              <w:t>Worksheet</w:t>
            </w:r>
          </w:p>
        </w:tc>
        <w:tc>
          <w:tcPr>
            <w:tcW w:type="dxa" w:w="4997"/>
            <w:shd w:fill="17251D"/>
            <w:tcMar>
              <w:top w:w="100" w:type="dxa"/>
              <w:start w:w="130" w:type="dxa"/>
              <w:bottom w:w="100" w:type="dxa"/>
              <w:end w:w="130" w:type="dxa"/>
            </w:tcMar>
          </w:tcPr>
          <w:p>
            <w:r>
              <w:rPr>
                <w:rFonts w:ascii="Aptos" w:hAnsi="Aptos"/>
                <w:b/>
                <w:i w:val="0"/>
                <w:color w:val="FFFFFF"/>
                <w:sz w:val="18"/>
              </w:rPr>
              <w:t>Purpose</w:t>
            </w:r>
          </w:p>
        </w:tc>
      </w:tr>
      <w:tr>
        <w:tc>
          <w:tcPr>
            <w:tcW w:type="dxa" w:w="2160"/>
            <w:tcMar>
              <w:top w:w="100" w:type="dxa"/>
              <w:start w:w="130" w:type="dxa"/>
              <w:bottom w:w="100" w:type="dxa"/>
              <w:end w:w="130" w:type="dxa"/>
            </w:tcMar>
          </w:tcPr>
          <w:p>
            <w:r>
              <w:rPr>
                <w:rFonts w:ascii="Aptos" w:hAnsi="Aptos"/>
                <w:b w:val="0"/>
                <w:i w:val="0"/>
                <w:color w:val="17251D"/>
                <w:sz w:val="18"/>
              </w:rPr>
              <w:t>Instructions</w:t>
            </w:r>
          </w:p>
        </w:tc>
        <w:tc>
          <w:tcPr>
            <w:tcW w:type="dxa" w:w="7632"/>
            <w:tcMar>
              <w:top w:w="100" w:type="dxa"/>
              <w:start w:w="130" w:type="dxa"/>
              <w:bottom w:w="100" w:type="dxa"/>
              <w:end w:w="130" w:type="dxa"/>
            </w:tcMar>
          </w:tcPr>
          <w:p>
            <w:r>
              <w:rPr>
                <w:rFonts w:ascii="Aptos" w:hAnsi="Aptos"/>
                <w:b w:val="0"/>
                <w:i w:val="0"/>
                <w:color w:val="17251D"/>
                <w:sz w:val="18"/>
              </w:rPr>
              <w:t>Read the workflow and scoring rules before use.</w:t>
            </w:r>
          </w:p>
        </w:tc>
      </w:tr>
      <w:tr>
        <w:tc>
          <w:tcPr>
            <w:tcW w:type="dxa" w:w="2160"/>
            <w:tcMar>
              <w:top w:w="100" w:type="dxa"/>
              <w:start w:w="130" w:type="dxa"/>
              <w:bottom w:w="100" w:type="dxa"/>
              <w:end w:w="130" w:type="dxa"/>
            </w:tcMar>
          </w:tcPr>
          <w:p>
            <w:r>
              <w:rPr>
                <w:rFonts w:ascii="Aptos" w:hAnsi="Aptos"/>
                <w:b w:val="0"/>
                <w:i w:val="0"/>
                <w:color w:val="17251D"/>
                <w:sz w:val="18"/>
              </w:rPr>
              <w:t>Requirements</w:t>
            </w:r>
          </w:p>
        </w:tc>
        <w:tc>
          <w:tcPr>
            <w:tcW w:type="dxa" w:w="7632"/>
            <w:tcMar>
              <w:top w:w="100" w:type="dxa"/>
              <w:start w:w="130" w:type="dxa"/>
              <w:bottom w:w="100" w:type="dxa"/>
              <w:end w:w="130" w:type="dxa"/>
            </w:tcMar>
          </w:tcPr>
          <w:p>
            <w:r>
              <w:rPr>
                <w:rFonts w:ascii="Aptos" w:hAnsi="Aptos"/>
                <w:b w:val="0"/>
                <w:i w:val="0"/>
                <w:color w:val="17251D"/>
                <w:sz w:val="18"/>
              </w:rPr>
              <w:t>Enter predefined criteria, weights, and requirement IDs.</w:t>
            </w:r>
          </w:p>
        </w:tc>
      </w:tr>
      <w:tr>
        <w:tc>
          <w:tcPr>
            <w:tcW w:type="dxa" w:w="2160"/>
            <w:tcMar>
              <w:top w:w="100" w:type="dxa"/>
              <w:start w:w="130" w:type="dxa"/>
              <w:bottom w:w="100" w:type="dxa"/>
              <w:end w:w="130" w:type="dxa"/>
            </w:tcMar>
          </w:tcPr>
          <w:p>
            <w:r>
              <w:rPr>
                <w:rFonts w:ascii="Aptos" w:hAnsi="Aptos"/>
                <w:b w:val="0"/>
                <w:i w:val="0"/>
                <w:color w:val="17251D"/>
                <w:sz w:val="18"/>
              </w:rPr>
              <w:t>Scorecard</w:t>
            </w:r>
          </w:p>
        </w:tc>
        <w:tc>
          <w:tcPr>
            <w:tcW w:type="dxa" w:w="7632"/>
            <w:tcMar>
              <w:top w:w="100" w:type="dxa"/>
              <w:start w:w="130" w:type="dxa"/>
              <w:bottom w:w="100" w:type="dxa"/>
              <w:end w:w="130" w:type="dxa"/>
            </w:tcMar>
          </w:tcPr>
          <w:p>
            <w:r>
              <w:rPr>
                <w:rFonts w:ascii="Aptos" w:hAnsi="Aptos"/>
                <w:b w:val="0"/>
                <w:i w:val="0"/>
                <w:color w:val="17251D"/>
                <w:sz w:val="18"/>
              </w:rPr>
              <w:t>Enter evaluator scores and evidence status; weighted totals calculate automatically.</w:t>
            </w:r>
          </w:p>
        </w:tc>
      </w:tr>
      <w:tr>
        <w:tc>
          <w:tcPr>
            <w:tcW w:type="dxa" w:w="2160"/>
            <w:tcMar>
              <w:top w:w="100" w:type="dxa"/>
              <w:start w:w="130" w:type="dxa"/>
              <w:bottom w:w="100" w:type="dxa"/>
              <w:end w:w="130" w:type="dxa"/>
            </w:tcMar>
          </w:tcPr>
          <w:p>
            <w:r>
              <w:rPr>
                <w:rFonts w:ascii="Aptos" w:hAnsi="Aptos"/>
                <w:b w:val="0"/>
                <w:i w:val="0"/>
                <w:color w:val="17251D"/>
                <w:sz w:val="18"/>
              </w:rPr>
              <w:t>Clarifications</w:t>
            </w:r>
          </w:p>
        </w:tc>
        <w:tc>
          <w:tcPr>
            <w:tcW w:type="dxa" w:w="7632"/>
            <w:tcMar>
              <w:top w:w="100" w:type="dxa"/>
              <w:start w:w="130" w:type="dxa"/>
              <w:bottom w:w="100" w:type="dxa"/>
              <w:end w:w="130" w:type="dxa"/>
            </w:tcMar>
          </w:tcPr>
          <w:p>
            <w:r>
              <w:rPr>
                <w:rFonts w:ascii="Aptos" w:hAnsi="Aptos"/>
                <w:b w:val="0"/>
                <w:i w:val="0"/>
                <w:color w:val="17251D"/>
                <w:sz w:val="18"/>
              </w:rPr>
              <w:t>Track neutral questions, owners, responses, and status.</w:t>
            </w:r>
          </w:p>
        </w:tc>
      </w:tr>
      <w:tr>
        <w:tc>
          <w:tcPr>
            <w:tcW w:type="dxa" w:w="2160"/>
            <w:tcMar>
              <w:top w:w="100" w:type="dxa"/>
              <w:start w:w="130" w:type="dxa"/>
              <w:bottom w:w="100" w:type="dxa"/>
              <w:end w:w="130" w:type="dxa"/>
            </w:tcMar>
          </w:tcPr>
          <w:p>
            <w:r>
              <w:rPr>
                <w:rFonts w:ascii="Aptos" w:hAnsi="Aptos"/>
                <w:b w:val="0"/>
                <w:i w:val="0"/>
                <w:color w:val="17251D"/>
                <w:sz w:val="18"/>
              </w:rPr>
              <w:t>AI Use Log</w:t>
            </w:r>
          </w:p>
        </w:tc>
        <w:tc>
          <w:tcPr>
            <w:tcW w:type="dxa" w:w="7632"/>
            <w:tcMar>
              <w:top w:w="100" w:type="dxa"/>
              <w:start w:w="130" w:type="dxa"/>
              <w:bottom w:w="100" w:type="dxa"/>
              <w:end w:w="130" w:type="dxa"/>
            </w:tcMar>
          </w:tcPr>
          <w:p>
            <w:r>
              <w:rPr>
                <w:rFonts w:ascii="Aptos" w:hAnsi="Aptos"/>
                <w:b w:val="0"/>
                <w:i w:val="0"/>
                <w:color w:val="17251D"/>
                <w:sz w:val="18"/>
              </w:rPr>
              <w:t>Record tools, prompts, files, reviewer checks, and corrections.</w:t>
            </w:r>
          </w:p>
        </w:tc>
      </w:tr>
    </w:tbl>
    <w:p>
      <w:pPr>
        <w:pStyle w:val="Heading2"/>
      </w:pPr>
      <w:r>
        <w:t>Suggested operating sequence</w:t>
      </w:r>
    </w:p>
    <w:p>
      <w:pPr>
        <w:pStyle w:val="ListNumber"/>
        <w:spacing w:after="100"/>
        <w:ind w:left="432" w:hanging="259"/>
      </w:pPr>
      <w:r>
        <w:rPr>
          <w:rFonts w:ascii="Aptos" w:hAnsi="Aptos"/>
          <w:b w:val="0"/>
          <w:i w:val="0"/>
          <w:color w:val="17251D"/>
          <w:sz w:val="20"/>
        </w:rPr>
        <w:t>Finalize requirements and weights.</w:t>
      </w:r>
    </w:p>
    <w:p>
      <w:pPr>
        <w:pStyle w:val="ListNumber"/>
        <w:spacing w:after="100"/>
        <w:ind w:left="432" w:hanging="259"/>
      </w:pPr>
      <w:r>
        <w:rPr>
          <w:rFonts w:ascii="Aptos" w:hAnsi="Aptos"/>
          <w:b w:val="0"/>
          <w:i w:val="0"/>
          <w:color w:val="17251D"/>
          <w:sz w:val="20"/>
        </w:rPr>
        <w:t>Distribute independent evaluator instructions.</w:t>
      </w:r>
    </w:p>
    <w:p>
      <w:pPr>
        <w:pStyle w:val="ListNumber"/>
        <w:spacing w:after="100"/>
        <w:ind w:left="432" w:hanging="259"/>
      </w:pPr>
      <w:r>
        <w:rPr>
          <w:rFonts w:ascii="Aptos" w:hAnsi="Aptos"/>
          <w:b w:val="0"/>
          <w:i w:val="0"/>
          <w:color w:val="17251D"/>
          <w:sz w:val="20"/>
        </w:rPr>
        <w:t>Use AI only for approved evidence-preparation tasks.</w:t>
      </w:r>
    </w:p>
    <w:p>
      <w:pPr>
        <w:pStyle w:val="ListNumber"/>
        <w:spacing w:after="100"/>
        <w:ind w:left="432" w:hanging="259"/>
      </w:pPr>
      <w:r>
        <w:rPr>
          <w:rFonts w:ascii="Aptos" w:hAnsi="Aptos"/>
          <w:b w:val="0"/>
          <w:i w:val="0"/>
          <w:color w:val="17251D"/>
          <w:sz w:val="20"/>
        </w:rPr>
        <w:t>Validate evidence and clarification candidates.</w:t>
      </w:r>
    </w:p>
    <w:p>
      <w:pPr>
        <w:pStyle w:val="ListNumber"/>
        <w:spacing w:after="100"/>
        <w:ind w:left="432" w:hanging="259"/>
      </w:pPr>
      <w:r>
        <w:rPr>
          <w:rFonts w:ascii="Aptos" w:hAnsi="Aptos"/>
          <w:b w:val="0"/>
          <w:i w:val="0"/>
          <w:color w:val="17251D"/>
          <w:sz w:val="20"/>
        </w:rPr>
        <w:t>Enter human scores and rationale.</w:t>
      </w:r>
    </w:p>
    <w:p>
      <w:pPr>
        <w:pStyle w:val="ListNumber"/>
        <w:spacing w:after="100"/>
        <w:ind w:left="432" w:hanging="259"/>
      </w:pPr>
      <w:r>
        <w:rPr>
          <w:rFonts w:ascii="Aptos" w:hAnsi="Aptos"/>
          <w:b w:val="0"/>
          <w:i w:val="0"/>
          <w:color w:val="17251D"/>
          <w:sz w:val="20"/>
        </w:rPr>
        <w:t>Resolve clarifications and document changes.</w:t>
      </w:r>
    </w:p>
    <w:p>
      <w:pPr>
        <w:pStyle w:val="ListNumber"/>
        <w:spacing w:after="100"/>
        <w:ind w:left="432" w:hanging="259"/>
      </w:pPr>
      <w:r>
        <w:rPr>
          <w:rFonts w:ascii="Aptos" w:hAnsi="Aptos"/>
          <w:b w:val="0"/>
          <w:i w:val="0"/>
          <w:color w:val="17251D"/>
          <w:sz w:val="20"/>
        </w:rPr>
        <w:t>Retain the final evaluation record according to policy.</w:t>
      </w:r>
    </w:p>
    <w:p>
      <w:r>
        <w:br w:type="page"/>
      </w:r>
    </w:p>
    <w:p>
      <w:pPr>
        <w:pStyle w:val="Heading1"/>
      </w:pPr>
      <w:r>
        <w:t>Prompt customization canvas</w:t>
      </w:r>
    </w:p>
    <w:p>
      <w:pPr>
        <w:spacing w:before="0" w:after="120"/>
      </w:pPr>
      <w:r>
        <w:rPr>
          <w:rFonts w:ascii="Aptos" w:hAnsi="Aptos"/>
          <w:b w:val="0"/>
          <w:i w:val="0"/>
          <w:color w:val="17251D"/>
          <w:sz w:val="21"/>
        </w:rPr>
        <w:t>Use this structure to adapt prompts without losing the controls that make the workflow defensible.</w:t>
      </w:r>
    </w:p>
    <w:p>
      <w:pPr>
        <w:spacing w:before="100" w:after="40"/>
      </w:pPr>
      <w:r>
        <w:rPr>
          <w:rFonts w:ascii="Aptos" w:hAnsi="Aptos"/>
          <w:b/>
          <w:i w:val="0"/>
          <w:color w:val="EF6B4F"/>
          <w:sz w:val="20"/>
        </w:rPr>
        <w:t>Task</w:t>
      </w:r>
      <w:r>
        <w:rPr>
          <w:rFonts w:ascii="Aptos" w:hAnsi="Aptos"/>
          <w:b w:val="0"/>
          <w:i/>
          <w:color w:val="5C6860"/>
          <w:sz w:val="18"/>
        </w:rPr>
        <w:t xml:space="preserve">  What narrow job should AI perform?</w:t>
      </w:r>
    </w:p>
    <w:p>
      <w:pPr>
        <w:spacing w:after="20"/>
      </w:pPr>
      <w:r>
        <w:rPr>
          <w:rFonts w:ascii="Aptos" w:hAnsi="Aptos"/>
          <w:b w:val="0"/>
          <w:i w:val="0"/>
          <w:color w:val="CCD3CC"/>
          <w:sz w:val="16"/>
        </w:rPr>
        <w:t>________________________________________________________________________________</w:t>
      </w:r>
    </w:p>
    <w:p>
      <w:pPr>
        <w:spacing w:after="20"/>
      </w:pPr>
      <w:r>
        <w:rPr>
          <w:rFonts w:ascii="Aptos" w:hAnsi="Aptos"/>
          <w:b w:val="0"/>
          <w:i w:val="0"/>
          <w:color w:val="CCD3CC"/>
          <w:sz w:val="16"/>
        </w:rPr>
        <w:t>________________________________________________________________________________</w:t>
      </w:r>
    </w:p>
    <w:p>
      <w:pPr>
        <w:spacing w:before="100" w:after="40"/>
      </w:pPr>
      <w:r>
        <w:rPr>
          <w:rFonts w:ascii="Aptos" w:hAnsi="Aptos"/>
          <w:b/>
          <w:i w:val="0"/>
          <w:color w:val="EF6B4F"/>
          <w:sz w:val="20"/>
        </w:rPr>
        <w:t>Approved sources</w:t>
      </w:r>
      <w:r>
        <w:rPr>
          <w:rFonts w:ascii="Aptos" w:hAnsi="Aptos"/>
          <w:b w:val="0"/>
          <w:i/>
          <w:color w:val="5C6860"/>
          <w:sz w:val="18"/>
        </w:rPr>
        <w:t xml:space="preserve">  Which files or fields may it use?</w:t>
      </w:r>
    </w:p>
    <w:p>
      <w:pPr>
        <w:spacing w:after="20"/>
      </w:pPr>
      <w:r>
        <w:rPr>
          <w:rFonts w:ascii="Aptos" w:hAnsi="Aptos"/>
          <w:b w:val="0"/>
          <w:i w:val="0"/>
          <w:color w:val="CCD3CC"/>
          <w:sz w:val="16"/>
        </w:rPr>
        <w:t>________________________________________________________________________________</w:t>
      </w:r>
    </w:p>
    <w:p>
      <w:pPr>
        <w:spacing w:after="20"/>
      </w:pPr>
      <w:r>
        <w:rPr>
          <w:rFonts w:ascii="Aptos" w:hAnsi="Aptos"/>
          <w:b w:val="0"/>
          <w:i w:val="0"/>
          <w:color w:val="CCD3CC"/>
          <w:sz w:val="16"/>
        </w:rPr>
        <w:t>________________________________________________________________________________</w:t>
      </w:r>
    </w:p>
    <w:p>
      <w:pPr>
        <w:spacing w:before="100" w:after="40"/>
      </w:pPr>
      <w:r>
        <w:rPr>
          <w:rFonts w:ascii="Aptos" w:hAnsi="Aptos"/>
          <w:b/>
          <w:i w:val="0"/>
          <w:color w:val="EF6B4F"/>
          <w:sz w:val="20"/>
        </w:rPr>
        <w:t>Required output</w:t>
      </w:r>
      <w:r>
        <w:rPr>
          <w:rFonts w:ascii="Aptos" w:hAnsi="Aptos"/>
          <w:b w:val="0"/>
          <w:i/>
          <w:color w:val="5C6860"/>
          <w:sz w:val="18"/>
        </w:rPr>
        <w:t xml:space="preserve">  What exact fields and format are needed?</w:t>
      </w:r>
    </w:p>
    <w:p>
      <w:pPr>
        <w:spacing w:after="20"/>
      </w:pPr>
      <w:r>
        <w:rPr>
          <w:rFonts w:ascii="Aptos" w:hAnsi="Aptos"/>
          <w:b w:val="0"/>
          <w:i w:val="0"/>
          <w:color w:val="CCD3CC"/>
          <w:sz w:val="16"/>
        </w:rPr>
        <w:t>________________________________________________________________________________</w:t>
      </w:r>
    </w:p>
    <w:p>
      <w:pPr>
        <w:spacing w:after="20"/>
      </w:pPr>
      <w:r>
        <w:rPr>
          <w:rFonts w:ascii="Aptos" w:hAnsi="Aptos"/>
          <w:b w:val="0"/>
          <w:i w:val="0"/>
          <w:color w:val="CCD3CC"/>
          <w:sz w:val="16"/>
        </w:rPr>
        <w:t>________________________________________________________________________________</w:t>
      </w:r>
    </w:p>
    <w:p>
      <w:pPr>
        <w:spacing w:before="100" w:after="40"/>
      </w:pPr>
      <w:r>
        <w:rPr>
          <w:rFonts w:ascii="Aptos" w:hAnsi="Aptos"/>
          <w:b/>
          <w:i w:val="0"/>
          <w:color w:val="EF6B4F"/>
          <w:sz w:val="20"/>
        </w:rPr>
        <w:t>Prohibited behavior</w:t>
      </w:r>
      <w:r>
        <w:rPr>
          <w:rFonts w:ascii="Aptos" w:hAnsi="Aptos"/>
          <w:b w:val="0"/>
          <w:i/>
          <w:color w:val="5C6860"/>
          <w:sz w:val="18"/>
        </w:rPr>
        <w:t xml:space="preserve">  What must it not infer, rank, decide, or invent?</w:t>
      </w:r>
    </w:p>
    <w:p>
      <w:pPr>
        <w:spacing w:after="20"/>
      </w:pPr>
      <w:r>
        <w:rPr>
          <w:rFonts w:ascii="Aptos" w:hAnsi="Aptos"/>
          <w:b w:val="0"/>
          <w:i w:val="0"/>
          <w:color w:val="CCD3CC"/>
          <w:sz w:val="16"/>
        </w:rPr>
        <w:t>________________________________________________________________________________</w:t>
      </w:r>
    </w:p>
    <w:p>
      <w:pPr>
        <w:spacing w:after="20"/>
      </w:pPr>
      <w:r>
        <w:rPr>
          <w:rFonts w:ascii="Aptos" w:hAnsi="Aptos"/>
          <w:b w:val="0"/>
          <w:i w:val="0"/>
          <w:color w:val="CCD3CC"/>
          <w:sz w:val="16"/>
        </w:rPr>
        <w:t>________________________________________________________________________________</w:t>
      </w:r>
    </w:p>
    <w:p>
      <w:pPr>
        <w:spacing w:before="100" w:after="40"/>
      </w:pPr>
      <w:r>
        <w:rPr>
          <w:rFonts w:ascii="Aptos" w:hAnsi="Aptos"/>
          <w:b/>
          <w:i w:val="0"/>
          <w:color w:val="EF6B4F"/>
          <w:sz w:val="20"/>
        </w:rPr>
        <w:t>Citation standard</w:t>
      </w:r>
      <w:r>
        <w:rPr>
          <w:rFonts w:ascii="Aptos" w:hAnsi="Aptos"/>
          <w:b w:val="0"/>
          <w:i/>
          <w:color w:val="5C6860"/>
          <w:sz w:val="18"/>
        </w:rPr>
        <w:t xml:space="preserve">  How should every material statement point to evidence?</w:t>
      </w:r>
    </w:p>
    <w:p>
      <w:pPr>
        <w:spacing w:after="20"/>
      </w:pPr>
      <w:r>
        <w:rPr>
          <w:rFonts w:ascii="Aptos" w:hAnsi="Aptos"/>
          <w:b w:val="0"/>
          <w:i w:val="0"/>
          <w:color w:val="CCD3CC"/>
          <w:sz w:val="16"/>
        </w:rPr>
        <w:t>________________________________________________________________________________</w:t>
      </w:r>
    </w:p>
    <w:p>
      <w:pPr>
        <w:spacing w:after="20"/>
      </w:pPr>
      <w:r>
        <w:rPr>
          <w:rFonts w:ascii="Aptos" w:hAnsi="Aptos"/>
          <w:b w:val="0"/>
          <w:i w:val="0"/>
          <w:color w:val="CCD3CC"/>
          <w:sz w:val="16"/>
        </w:rPr>
        <w:t>________________________________________________________________________________</w:t>
      </w:r>
    </w:p>
    <w:p>
      <w:pPr>
        <w:spacing w:before="100" w:after="40"/>
      </w:pPr>
      <w:r>
        <w:rPr>
          <w:rFonts w:ascii="Aptos" w:hAnsi="Aptos"/>
          <w:b/>
          <w:i w:val="0"/>
          <w:color w:val="EF6B4F"/>
          <w:sz w:val="20"/>
        </w:rPr>
        <w:t>Uncertainty rule</w:t>
      </w:r>
      <w:r>
        <w:rPr>
          <w:rFonts w:ascii="Aptos" w:hAnsi="Aptos"/>
          <w:b w:val="0"/>
          <w:i/>
          <w:color w:val="5C6860"/>
          <w:sz w:val="18"/>
        </w:rPr>
        <w:t xml:space="preserve">  How should missing or conflicting information appear?</w:t>
      </w:r>
    </w:p>
    <w:p>
      <w:pPr>
        <w:spacing w:after="20"/>
      </w:pPr>
      <w:r>
        <w:rPr>
          <w:rFonts w:ascii="Aptos" w:hAnsi="Aptos"/>
          <w:b w:val="0"/>
          <w:i w:val="0"/>
          <w:color w:val="CCD3CC"/>
          <w:sz w:val="16"/>
        </w:rPr>
        <w:t>________________________________________________________________________________</w:t>
      </w:r>
    </w:p>
    <w:p>
      <w:pPr>
        <w:spacing w:after="20"/>
      </w:pPr>
      <w:r>
        <w:rPr>
          <w:rFonts w:ascii="Aptos" w:hAnsi="Aptos"/>
          <w:b w:val="0"/>
          <w:i w:val="0"/>
          <w:color w:val="CCD3CC"/>
          <w:sz w:val="16"/>
        </w:rPr>
        <w:t>________________________________________________________________________________</w:t>
      </w:r>
    </w:p>
    <w:p>
      <w:pPr>
        <w:spacing w:before="100" w:after="40"/>
      </w:pPr>
      <w:r>
        <w:rPr>
          <w:rFonts w:ascii="Aptos" w:hAnsi="Aptos"/>
          <w:b/>
          <w:i w:val="0"/>
          <w:color w:val="EF6B4F"/>
          <w:sz w:val="20"/>
        </w:rPr>
        <w:t>Human gate</w:t>
      </w:r>
      <w:r>
        <w:rPr>
          <w:rFonts w:ascii="Aptos" w:hAnsi="Aptos"/>
          <w:b w:val="0"/>
          <w:i/>
          <w:color w:val="5C6860"/>
          <w:sz w:val="18"/>
        </w:rPr>
        <w:t xml:space="preserve">  Who validates the output before use?</w:t>
      </w:r>
    </w:p>
    <w:p>
      <w:pPr>
        <w:spacing w:after="20"/>
      </w:pPr>
      <w:r>
        <w:rPr>
          <w:rFonts w:ascii="Aptos" w:hAnsi="Aptos"/>
          <w:b w:val="0"/>
          <w:i w:val="0"/>
          <w:color w:val="CCD3CC"/>
          <w:sz w:val="16"/>
        </w:rPr>
        <w:t>________________________________________________________________________________</w:t>
      </w:r>
    </w:p>
    <w:p>
      <w:pPr>
        <w:spacing w:after="20"/>
      </w:pPr>
      <w:r>
        <w:rPr>
          <w:rFonts w:ascii="Aptos" w:hAnsi="Aptos"/>
          <w:b w:val="0"/>
          <w:i w:val="0"/>
          <w:color w:val="CCD3CC"/>
          <w:sz w:val="16"/>
        </w:rPr>
        <w:t>________________________________________________________________________________</w:t>
      </w:r>
    </w:p>
    <w:p>
      <w:r>
        <w:br w:type="page"/>
      </w:r>
    </w:p>
    <w:p>
      <w:pPr>
        <w:pStyle w:val="Heading1"/>
      </w:pPr>
      <w:r>
        <w:t>Final review checklist</w:t>
      </w:r>
    </w:p>
    <w:p>
      <w:pPr>
        <w:pStyle w:val="ListBullet"/>
        <w:spacing w:after="80"/>
        <w:ind w:left="360" w:hanging="230"/>
      </w:pPr>
      <w:r>
        <w:rPr>
          <w:rFonts w:ascii="Aptos" w:hAnsi="Aptos"/>
          <w:b w:val="0"/>
          <w:i w:val="0"/>
          <w:color w:val="17251D"/>
          <w:sz w:val="20"/>
        </w:rPr>
        <w:t>AI use was approved for the selected tool and data.</w:t>
      </w:r>
    </w:p>
    <w:p>
      <w:pPr>
        <w:pStyle w:val="ListBullet"/>
        <w:spacing w:after="80"/>
        <w:ind w:left="360" w:hanging="230"/>
      </w:pPr>
      <w:r>
        <w:rPr>
          <w:rFonts w:ascii="Aptos" w:hAnsi="Aptos"/>
          <w:b w:val="0"/>
          <w:i w:val="0"/>
          <w:color w:val="17251D"/>
          <w:sz w:val="20"/>
        </w:rPr>
        <w:t>Requirements and scoring rules were set independently of AI output.</w:t>
      </w:r>
    </w:p>
    <w:p>
      <w:pPr>
        <w:pStyle w:val="ListBullet"/>
        <w:spacing w:after="80"/>
        <w:ind w:left="360" w:hanging="230"/>
      </w:pPr>
      <w:r>
        <w:rPr>
          <w:rFonts w:ascii="Aptos" w:hAnsi="Aptos"/>
          <w:b w:val="0"/>
          <w:i w:val="0"/>
          <w:color w:val="17251D"/>
          <w:sz w:val="20"/>
        </w:rPr>
        <w:t>Every material statement is traceable to a source.</w:t>
      </w:r>
    </w:p>
    <w:p>
      <w:pPr>
        <w:pStyle w:val="ListBullet"/>
        <w:spacing w:after="80"/>
        <w:ind w:left="360" w:hanging="230"/>
      </w:pPr>
      <w:r>
        <w:rPr>
          <w:rFonts w:ascii="Aptos" w:hAnsi="Aptos"/>
          <w:b w:val="0"/>
          <w:i w:val="0"/>
          <w:color w:val="17251D"/>
          <w:sz w:val="20"/>
        </w:rPr>
        <w:t>No AI-generated score, rank, recommendation, or award decision remains.</w:t>
      </w:r>
    </w:p>
    <w:p>
      <w:pPr>
        <w:pStyle w:val="ListBullet"/>
        <w:spacing w:after="80"/>
        <w:ind w:left="360" w:hanging="230"/>
      </w:pPr>
      <w:r>
        <w:rPr>
          <w:rFonts w:ascii="Aptos" w:hAnsi="Aptos"/>
          <w:b w:val="0"/>
          <w:i w:val="0"/>
          <w:color w:val="17251D"/>
          <w:sz w:val="20"/>
        </w:rPr>
        <w:t>Evaluator comments and vendor statements are clearly separated.</w:t>
      </w:r>
    </w:p>
    <w:p>
      <w:pPr>
        <w:pStyle w:val="ListBullet"/>
        <w:spacing w:after="80"/>
        <w:ind w:left="360" w:hanging="230"/>
      </w:pPr>
      <w:r>
        <w:rPr>
          <w:rFonts w:ascii="Aptos" w:hAnsi="Aptos"/>
          <w:b w:val="0"/>
          <w:i w:val="0"/>
          <w:color w:val="17251D"/>
          <w:sz w:val="20"/>
        </w:rPr>
        <w:t>Clarification questions are neutral and do not expose competitor information.</w:t>
      </w:r>
    </w:p>
    <w:p>
      <w:pPr>
        <w:pStyle w:val="ListBullet"/>
        <w:spacing w:after="80"/>
        <w:ind w:left="360" w:hanging="230"/>
      </w:pPr>
      <w:r>
        <w:rPr>
          <w:rFonts w:ascii="Aptos" w:hAnsi="Aptos"/>
          <w:b w:val="0"/>
          <w:i w:val="0"/>
          <w:color w:val="17251D"/>
          <w:sz w:val="20"/>
        </w:rPr>
        <w:t>Qualified experts reviewed specialized legal, security, privacy, compliance, financial, and technical matters.</w:t>
      </w:r>
    </w:p>
    <w:p>
      <w:pPr>
        <w:pStyle w:val="ListBullet"/>
        <w:spacing w:after="80"/>
        <w:ind w:left="360" w:hanging="230"/>
      </w:pPr>
      <w:r>
        <w:rPr>
          <w:rFonts w:ascii="Aptos" w:hAnsi="Aptos"/>
          <w:b w:val="0"/>
          <w:i w:val="0"/>
          <w:color w:val="17251D"/>
          <w:sz w:val="20"/>
        </w:rPr>
        <w:t>The AI-use record captures prompts, files, reviewers, and corrections.</w:t>
      </w:r>
    </w:p>
    <w:p>
      <w:pPr>
        <w:pStyle w:val="ListBullet"/>
        <w:spacing w:after="80"/>
        <w:ind w:left="360" w:hanging="230"/>
      </w:pPr>
      <w:r>
        <w:rPr>
          <w:rFonts w:ascii="Aptos" w:hAnsi="Aptos"/>
          <w:b w:val="0"/>
          <w:i w:val="0"/>
          <w:color w:val="17251D"/>
          <w:sz w:val="20"/>
        </w:rPr>
        <w:t>The final decision was made and documented by authorized people.</w:t>
      </w:r>
    </w:p>
    <w:tbl>
      <w:tblPr>
        <w:tblW w:type="auto" w:w="0"/>
        <w:jc w:val="center"/>
        <w:tblLayout w:type="fixed"/>
        <w:tblLook w:firstColumn="1" w:firstRow="1" w:lastColumn="0" w:lastRow="0" w:noHBand="0" w:noVBand="1" w:val="04A0"/>
      </w:tblPr>
      <w:tblGrid>
        <w:gridCol w:w="9792"/>
      </w:tblGrid>
      <w:tr>
        <w:tc>
          <w:tcPr>
            <w:tcW w:type="dxa" w:w="9994"/>
            <w:shd w:fill="D8E0CE"/>
            <w:tcMar>
              <w:top w:w="170" w:type="dxa"/>
              <w:start w:w="190" w:type="dxa"/>
              <w:bottom w:w="170" w:type="dxa"/>
              <w:end w:w="190" w:type="dxa"/>
            </w:tcMar>
          </w:tcPr>
          <w:p>
            <w:pPr>
              <w:spacing w:after="80"/>
            </w:pPr>
            <w:r>
              <w:rPr>
                <w:rFonts w:ascii="Aptos" w:hAnsi="Aptos"/>
                <w:b/>
                <w:i w:val="0"/>
                <w:color w:val="EF6B4F"/>
                <w:sz w:val="16"/>
              </w:rPr>
              <w:t>REMEMBER</w:t>
            </w:r>
          </w:p>
          <w:p>
            <w:pPr>
              <w:spacing w:after="0"/>
            </w:pPr>
            <w:r>
              <w:rPr>
                <w:rFonts w:ascii="Aptos" w:hAnsi="Aptos"/>
                <w:b w:val="0"/>
                <w:i w:val="0"/>
                <w:color w:val="17251D"/>
                <w:sz w:val="20"/>
              </w:rPr>
              <w:t>A fast process is not a defensible process unless the evidence, judgment, and accountability remain visible.</w:t>
            </w:r>
          </w:p>
        </w:tc>
      </w:tr>
    </w:tbl>
    <w:p>
      <w:pPr>
        <w:spacing w:after="20"/>
      </w:pPr>
    </w:p>
    <w:p>
      <w:pPr>
        <w:pStyle w:val="Heading2"/>
      </w:pPr>
      <w:r>
        <w:t>About this preview</w:t>
      </w:r>
    </w:p>
    <w:p>
      <w:pPr>
        <w:spacing w:before="0" w:after="120"/>
      </w:pPr>
      <w:r>
        <w:rPr>
          <w:rFonts w:ascii="Aptos" w:hAnsi="Aptos"/>
          <w:b w:val="0"/>
          <w:i w:val="0"/>
          <w:color w:val="5C6860"/>
          <w:sz w:val="18"/>
        </w:rPr>
        <w:t>This free starter playbook is an original, generic educational resource created for the PlaybookTemplates.com concept. It is not procurement, legal, compliance, privacy, security, technical, or financial advice. Adapt it to your organization's policies and obtain qualified review where appropriate.</w:t>
      </w:r>
    </w:p>
    <w:sectPr w:rsidR="00FC693F" w:rsidRPr="0006063C" w:rsidSect="00034616">
      <w:headerReference w:type="default" r:id="rId9"/>
      <w:footerReference w:type="default" r:id="rId10"/>
      <w:pgSz w:w="12240" w:h="15840"/>
      <w:pgMar w:top="1037" w:right="1123" w:bottom="1008" w:left="1123"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b w:val="0"/>
        <w:i w:val="0"/>
        <w:color w:val="5C6860"/>
        <w:sz w:val="16"/>
      </w:rPr>
      <w:t>Practical AI workflow - human decision required</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Aptos" w:hAnsi="Aptos"/>
        <w:b/>
        <w:i w:val="0"/>
        <w:color w:val="5C6860"/>
        <w:sz w:val="16"/>
      </w:rPr>
      <w:t>PLAYBOOK TEMPLATES  /  AI VENDOR EVALUATION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83" w:lineRule="auto"/>
    </w:pPr>
    <w:rPr>
      <w:rFonts w:ascii="Aptos" w:hAnsi="Aptos"/>
      <w:color w:val="1725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Aptos Display" w:hAnsi="Aptos Display"/>
      <w:b/>
      <w:bCs/>
      <w:color w:val="17251D"/>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Aptos Display" w:hAnsi="Aptos Display"/>
      <w:b/>
      <w:bCs/>
      <w:color w:val="17251D"/>
      <w:sz w:val="27"/>
      <w:szCs w:val="26"/>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Theme="majorHAnsi" w:eastAsiaTheme="majorEastAsia" w:hAnsiTheme="majorHAnsi" w:cstheme="majorBidi" w:ascii="Aptos Display" w:hAnsi="Aptos Display"/>
      <w:b/>
      <w:bCs/>
      <w:color w:val="EF6B4F"/>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spacing w:after="140"/>
    </w:pPr>
    <w:rPr>
      <w:rFonts w:ascii="Aptos" w:hAnsi="Aptos"/>
      <w:b/>
      <w:color w:val="EF6B4F"/>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Vendor Evaluation Starter Playbook</dc:title>
  <dc:subject>A governed AI workflow for proposal evidence preparation</dc:subject>
  <dc:creator>Playbook Templates</dc:creator>
  <cp:keywords>AI, sourcing, procurement, vendor evaluation, playbook</cp:keywords>
  <dc:description>generated by python-docx</dc:description>
  <cp:lastModifiedBy/>
  <cp:revision>1</cp:revision>
  <dcterms:created xsi:type="dcterms:W3CDTF">2013-12-23T23:15:00Z</dcterms:created>
  <dcterms:modified xsi:type="dcterms:W3CDTF">2013-12-23T23:15:00Z</dcterms:modified>
  <cp:category/>
</cp:coreProperties>
</file>